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79C" w:rsidRDefault="00B435E0">
      <w:pPr>
        <w:pStyle w:val="1"/>
        <w:spacing w:line="300" w:lineRule="auto"/>
        <w:jc w:val="center"/>
        <w:rPr>
          <w:rFonts w:ascii="宋体" w:eastAsia="宋体" w:hAnsi="宋体" w:cs="宋体"/>
        </w:rPr>
      </w:pPr>
      <w:bookmarkStart w:id="0" w:name="_Toc521346536"/>
      <w:bookmarkStart w:id="1" w:name="_Toc521338480"/>
      <w:bookmarkStart w:id="2" w:name="_Toc521339336"/>
      <w:r>
        <w:rPr>
          <w:rFonts w:ascii="宋体" w:eastAsia="宋体" w:hAnsi="宋体" w:cs="宋体"/>
        </w:rPr>
        <w:t xml:space="preserve"> </w:t>
      </w:r>
      <w:r>
        <w:rPr>
          <w:rFonts w:ascii="宋体" w:eastAsia="宋体" w:hAnsi="宋体" w:cs="宋体" w:hint="eastAsia"/>
        </w:rPr>
        <w:t>2017沪深上市公司商标品牌价值排行榜</w:t>
      </w:r>
    </w:p>
    <w:p w:rsidR="0082679C" w:rsidRDefault="00B435E0">
      <w:pPr>
        <w:pStyle w:val="1"/>
        <w:spacing w:line="300" w:lineRule="auto"/>
        <w:jc w:val="center"/>
        <w:rPr>
          <w:rFonts w:ascii="宋体" w:eastAsia="宋体" w:hAnsi="宋体" w:cs="宋体"/>
        </w:rPr>
      </w:pPr>
      <w:r>
        <w:rPr>
          <w:rFonts w:ascii="宋体" w:eastAsia="宋体" w:hAnsi="宋体" w:cs="宋体" w:hint="eastAsia"/>
        </w:rPr>
        <w:t>说明报告</w:t>
      </w:r>
    </w:p>
    <w:p w:rsidR="00D5636E" w:rsidRPr="00D5636E" w:rsidRDefault="00D5636E" w:rsidP="00D5636E">
      <w:pPr>
        <w:jc w:val="center"/>
        <w:rPr>
          <w:rFonts w:ascii="宋体" w:eastAsia="宋体" w:hAnsi="宋体"/>
          <w:sz w:val="32"/>
          <w:szCs w:val="32"/>
        </w:rPr>
      </w:pPr>
      <w:r w:rsidRPr="00D5636E">
        <w:rPr>
          <w:rFonts w:ascii="宋体" w:eastAsia="宋体" w:hAnsi="宋体" w:cs="FZSSJW--GB1-0" w:hint="eastAsia"/>
          <w:color w:val="000000"/>
          <w:kern w:val="0"/>
          <w:sz w:val="32"/>
          <w:szCs w:val="32"/>
        </w:rPr>
        <w:t>中国人民大学中国商标品牌研究院</w:t>
      </w:r>
    </w:p>
    <w:p w:rsidR="0082679C" w:rsidRDefault="00B435E0">
      <w:pPr>
        <w:pStyle w:val="2"/>
        <w:spacing w:line="300" w:lineRule="auto"/>
        <w:rPr>
          <w:rFonts w:ascii="宋体" w:hAnsi="宋体" w:cs="宋体"/>
          <w:sz w:val="32"/>
        </w:rPr>
      </w:pPr>
      <w:bookmarkStart w:id="3" w:name="_Toc521346537"/>
      <w:bookmarkStart w:id="4" w:name="_Toc521338481"/>
      <w:bookmarkEnd w:id="0"/>
      <w:bookmarkEnd w:id="1"/>
      <w:bookmarkEnd w:id="2"/>
      <w:r>
        <w:rPr>
          <w:rFonts w:ascii="宋体" w:hAnsi="宋体" w:cs="宋体" w:hint="eastAsia"/>
          <w:sz w:val="32"/>
        </w:rPr>
        <w:t>一、背景与意义</w:t>
      </w:r>
      <w:bookmarkEnd w:id="3"/>
      <w:bookmarkEnd w:id="4"/>
    </w:p>
    <w:p w:rsidR="0082679C" w:rsidRDefault="00B435E0">
      <w:pPr>
        <w:pStyle w:val="3"/>
        <w:spacing w:line="300" w:lineRule="auto"/>
        <w:rPr>
          <w:rFonts w:ascii="宋体" w:hAnsi="宋体" w:cs="宋体"/>
          <w:sz w:val="28"/>
          <w:szCs w:val="28"/>
        </w:rPr>
      </w:pPr>
      <w:bookmarkStart w:id="5" w:name="_Toc521338482"/>
      <w:bookmarkStart w:id="6" w:name="_Toc521346538"/>
      <w:r>
        <w:rPr>
          <w:rFonts w:ascii="宋体" w:hAnsi="宋体" w:cs="宋体" w:hint="eastAsia"/>
          <w:sz w:val="28"/>
          <w:szCs w:val="28"/>
        </w:rPr>
        <w:t>（一）商标品牌是企业乃至国家竞争力的综合体现</w:t>
      </w:r>
      <w:bookmarkEnd w:id="5"/>
      <w:bookmarkEnd w:id="6"/>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2016年，国务院办公厅《关于发挥品牌引领作用推动供需结构升级的意见》（下称“《意见》”）与国务院《关于印发“十三五”国家知识产权保护和运用规划的通知》指出，“品牌是企业乃至国家竞争力的综合体现，代表着供给结构和需求结构的升级方向。”发挥品牌引领作用、推动供给结构和需求结构升级，是深入贯彻落实创新、协调、绿色、开放、共享发展理念的必然要求，也是今后一段时期加快经济发展方式由外延扩张型向内涵集约型转变、由规模速度型向质量效率型转变的重要举措。</w:t>
      </w:r>
    </w:p>
    <w:p w:rsidR="0082679C" w:rsidRDefault="00B435E0">
      <w:pPr>
        <w:pStyle w:val="3"/>
        <w:spacing w:line="300" w:lineRule="auto"/>
        <w:rPr>
          <w:rFonts w:ascii="宋体" w:hAnsi="宋体" w:cs="宋体"/>
          <w:sz w:val="28"/>
          <w:szCs w:val="28"/>
        </w:rPr>
      </w:pPr>
      <w:bookmarkStart w:id="7" w:name="_Toc521338483"/>
      <w:bookmarkStart w:id="8" w:name="_Toc521346539"/>
      <w:r>
        <w:rPr>
          <w:rFonts w:ascii="宋体" w:hAnsi="宋体" w:cs="宋体" w:hint="eastAsia"/>
          <w:sz w:val="28"/>
          <w:szCs w:val="28"/>
        </w:rPr>
        <w:t>（二）商标品牌价值评价</w:t>
      </w:r>
      <w:bookmarkEnd w:id="7"/>
      <w:bookmarkEnd w:id="8"/>
      <w:r>
        <w:rPr>
          <w:rFonts w:ascii="宋体" w:hAnsi="宋体" w:cs="宋体" w:hint="eastAsia"/>
          <w:sz w:val="28"/>
          <w:szCs w:val="28"/>
        </w:rPr>
        <w:t>是我国增强品牌建设软实力的重要举措</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国际上已经有若干具有公信力的品牌价值排行榜，中国品牌价值评价研究已经起步，2016年，国务院办公厅《意见》明确提出，“培育若干具有国际影响力的品牌评价理论研究机构和品牌评价机构，研究建立商标价值评估体系，提高品牌研究水平，发布客观公正的品牌价值评价结果，逐步提高公信力”。</w:t>
      </w:r>
    </w:p>
    <w:p w:rsidR="0082679C" w:rsidRDefault="00B435E0">
      <w:pPr>
        <w:pStyle w:val="3"/>
        <w:spacing w:line="300" w:lineRule="auto"/>
        <w:rPr>
          <w:rFonts w:ascii="宋体" w:hAnsi="宋体" w:cs="宋体"/>
          <w:sz w:val="28"/>
          <w:szCs w:val="28"/>
        </w:rPr>
      </w:pPr>
      <w:bookmarkStart w:id="9" w:name="_Toc521346540"/>
      <w:bookmarkStart w:id="10" w:name="_Toc521338484"/>
      <w:r>
        <w:rPr>
          <w:rFonts w:ascii="宋体" w:hAnsi="宋体" w:cs="宋体" w:hint="eastAsia"/>
          <w:sz w:val="28"/>
          <w:szCs w:val="28"/>
        </w:rPr>
        <w:t>（三）2017《排行榜》关注中国商标品牌成长</w:t>
      </w:r>
      <w:bookmarkEnd w:id="9"/>
      <w:bookmarkEnd w:id="10"/>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在我国大力发挥商标品牌引领作用，推动供给、需求结构升级的背景下，2018年10月中国人民大学中国商标品牌研究院发布《2017沪深上市公司商标品牌价值排行榜》（下称“《排行榜》”），《排行榜》作为我国首个以上市公司商标品牌价值为研究对象的榜单，自2016年排行榜发布以来第二次发布，结合沪深上市公司财务数据与品牌强度两大指标体系，测算得出商标品牌价值总榜和分榜，并与2016榜单结果进行价值纵向对比，动态展现中国上市公司品牌价值的发展变化，</w:t>
      </w:r>
      <w:r>
        <w:rPr>
          <w:rFonts w:ascii="宋体" w:eastAsia="宋体" w:hAnsi="宋体" w:cs="宋体" w:hint="eastAsia"/>
          <w:sz w:val="24"/>
          <w:szCs w:val="24"/>
        </w:rPr>
        <w:lastRenderedPageBreak/>
        <w:t>为企业完善发展路径、提升商标品牌价值提供富有实践意义的数据、结论和建议。</w:t>
      </w:r>
    </w:p>
    <w:p w:rsidR="0082679C" w:rsidRDefault="00B435E0">
      <w:pPr>
        <w:pStyle w:val="2"/>
        <w:spacing w:line="300" w:lineRule="auto"/>
        <w:rPr>
          <w:rFonts w:ascii="宋体" w:hAnsi="宋体" w:cs="宋体"/>
          <w:sz w:val="32"/>
        </w:rPr>
      </w:pPr>
      <w:bookmarkStart w:id="11" w:name="_Toc521346541"/>
      <w:bookmarkStart w:id="12" w:name="_Toc521338485"/>
      <w:r>
        <w:rPr>
          <w:rFonts w:ascii="宋体" w:hAnsi="宋体" w:cs="宋体" w:hint="eastAsia"/>
          <w:sz w:val="32"/>
        </w:rPr>
        <w:t>二、评估方法与测算路径</w:t>
      </w:r>
      <w:bookmarkEnd w:id="11"/>
      <w:bookmarkEnd w:id="12"/>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研究团队构建了一种综合考虑商标品牌收益与商标品牌强度两大要素，通过评估测算商标品牌超额收益并折现，以量化标准衡量商标品牌价值的评估模型。</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在商标品牌收益方面，以分成率来量化商标品牌超额收益，并以此作为商标品牌在企业收益中所创造的价值比重。商标品牌强度综合反映了商标品牌收益的风险，与企业资本成本结合构成了商标品牌超额收益的折现率。影响商标品牌强度的要素分为三个维度：消费者评价、品牌建设投入与品牌管理。每个维度由一系列指标体现，消费者评价要素包括消费者关注度、消费者满意度与消费者忠诚度等指标，品牌建设投入涉及有效专利、注册商标等知识产权指标，品牌管理涉及品牌信用与品牌责任等指标。</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根据商标品牌为企业带来的超额收益和商标品牌强度测算商标品牌价值。构建测算模型的原则为：符合企业根本伦理、鼓励根基建设投入、揭示目前市场价值、蕴含未来发展潜力、兼顾企业社会责任、强化宏观监管效应。</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排行榜》以2016年12月31日及以往年份的数据为基础，由总榜和10个行业分榜组成。总榜从全行业的角度对沪深上市公司中最有价值的商标品牌进行了考察、排序；分榜选取了10个贴近终端消费者、体现中国制造概念并符合国家商标品牌发展战略的细分行业，根据行业特点对行业领导品牌进行了排序。评估所用原始数据全部由公开资料或市场调查得出。</w:t>
      </w:r>
    </w:p>
    <w:p w:rsidR="0082679C" w:rsidRDefault="00B435E0">
      <w:pPr>
        <w:pStyle w:val="2"/>
        <w:spacing w:line="300" w:lineRule="auto"/>
        <w:rPr>
          <w:rFonts w:ascii="宋体" w:hAnsi="宋体" w:cs="宋体"/>
          <w:sz w:val="32"/>
        </w:rPr>
      </w:pPr>
      <w:bookmarkStart w:id="13" w:name="_Toc521346542"/>
      <w:bookmarkStart w:id="14" w:name="_Toc521338486"/>
      <w:r>
        <w:rPr>
          <w:rFonts w:ascii="宋体" w:hAnsi="宋体" w:cs="宋体" w:hint="eastAsia"/>
          <w:sz w:val="32"/>
        </w:rPr>
        <w:t>三、商标品牌价值总榜“百强”出炉</w:t>
      </w:r>
      <w:bookmarkEnd w:id="13"/>
      <w:bookmarkEnd w:id="14"/>
    </w:p>
    <w:p w:rsidR="0082679C" w:rsidRDefault="00B435E0">
      <w:pPr>
        <w:spacing w:line="300" w:lineRule="auto"/>
        <w:rPr>
          <w:rFonts w:ascii="宋体" w:eastAsia="宋体" w:hAnsi="宋体" w:cs="宋体"/>
          <w:sz w:val="24"/>
          <w:szCs w:val="24"/>
        </w:rPr>
      </w:pPr>
      <w:r>
        <w:rPr>
          <w:rFonts w:ascii="宋体" w:eastAsia="宋体" w:hAnsi="宋体" w:cs="宋体" w:hint="eastAsia"/>
          <w:szCs w:val="21"/>
        </w:rPr>
        <w:t xml:space="preserve">   </w:t>
      </w:r>
      <w:r>
        <w:rPr>
          <w:rFonts w:ascii="宋体" w:eastAsia="宋体" w:hAnsi="宋体" w:cs="宋体" w:hint="eastAsia"/>
          <w:sz w:val="24"/>
          <w:szCs w:val="24"/>
        </w:rPr>
        <w:t xml:space="preserve"> 2017年，商标品牌价值排行榜总榜“百强”囊括14个行业，商标品牌价值总额达37575.02亿元，占“百强”上市公司市值总和的19.02%，商标品牌价值已成为上市公司价值的重要组成部分。企业商标品牌建设越有成效，商标品牌价值总额占对应上市公司市值总额的比重越高，品牌竞争优势越大。</w:t>
      </w:r>
    </w:p>
    <w:p w:rsidR="0082679C" w:rsidRDefault="00B435E0">
      <w:pPr>
        <w:pStyle w:val="afd"/>
        <w:spacing w:line="300" w:lineRule="auto"/>
        <w:ind w:left="480" w:firstLineChars="0" w:firstLine="360"/>
        <w:jc w:val="center"/>
        <w:rPr>
          <w:rFonts w:ascii="宋体" w:eastAsia="宋体" w:hAnsi="宋体" w:cs="宋体"/>
          <w:b/>
          <w:szCs w:val="21"/>
        </w:rPr>
      </w:pPr>
      <w:r>
        <w:rPr>
          <w:rFonts w:ascii="宋体" w:eastAsia="宋体" w:hAnsi="宋体" w:cs="宋体" w:hint="eastAsia"/>
          <w:b/>
          <w:szCs w:val="21"/>
        </w:rPr>
        <w:t>表1 2017沪深上市公司商标品牌价值排行榜 总榜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556"/>
        <w:gridCol w:w="4033"/>
        <w:gridCol w:w="1965"/>
      </w:tblGrid>
      <w:tr w:rsidR="0082679C">
        <w:trPr>
          <w:trHeight w:val="567"/>
        </w:trPr>
        <w:tc>
          <w:tcPr>
            <w:tcW w:w="968" w:type="dxa"/>
            <w:shd w:val="clear" w:color="auto" w:fill="B4C6E7" w:themeFill="accent1" w:themeFillTint="66"/>
            <w:vAlign w:val="center"/>
          </w:tcPr>
          <w:p w:rsidR="0082679C" w:rsidRDefault="00B435E0">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序号</w:t>
            </w:r>
          </w:p>
        </w:tc>
        <w:tc>
          <w:tcPr>
            <w:tcW w:w="5589" w:type="dxa"/>
            <w:gridSpan w:val="2"/>
            <w:shd w:val="clear" w:color="auto" w:fill="B4C6E7" w:themeFill="accent1" w:themeFillTint="66"/>
            <w:vAlign w:val="center"/>
          </w:tcPr>
          <w:p w:rsidR="0082679C" w:rsidRDefault="00B435E0">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上市公司简称</w:t>
            </w:r>
          </w:p>
        </w:tc>
        <w:tc>
          <w:tcPr>
            <w:tcW w:w="1965" w:type="dxa"/>
            <w:shd w:val="clear" w:color="auto" w:fill="B4C6E7" w:themeFill="accent1" w:themeFillTint="66"/>
            <w:vAlign w:val="center"/>
          </w:tcPr>
          <w:p w:rsidR="0082679C" w:rsidRDefault="00B435E0">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商标品牌价值(亿元)</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工商银行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986915" cy="3594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7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3044.44</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建设银行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86535" cy="3594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68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2008.46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农业银行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35405" cy="3594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1532.46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68705" cy="3594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1346.31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中国石化</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02590" cy="3594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1290.95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上汽集团</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14400" cy="359410"/>
                  <wp:effectExtent l="0" t="0" r="0" b="2540"/>
                  <wp:docPr id="15" name="图片 15" descr="C:\DOCUME~1\ADMINI~1\LOCALS~1\Temp\WeChat Files\330821310466596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DOCUME~1\ADMINI~1\LOCALS~1\Temp\WeChat Files\330821310466596424.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14400" cy="360000"/>
                          </a:xfrm>
                          <a:prstGeom prst="rect">
                            <a:avLst/>
                          </a:prstGeom>
                          <a:noFill/>
                          <a:ln>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1130.75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中国石油</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45440" cy="3594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1048.75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中国平安</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33525" cy="3594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33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1010.23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长江电力</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216660" cy="35941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8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907.55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中国中车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32180" cy="359410"/>
                  <wp:effectExtent l="0" t="0" r="127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2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855.90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中国建筑</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734820" cy="35941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5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786.95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中国人寿</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02970" cy="35941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3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770.90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贵州茅台</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21005" cy="3594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573.43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招商银行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16990" cy="35941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17600" cy="360000"/>
                          </a:xfrm>
                          <a:prstGeom prst="rect">
                            <a:avLst/>
                          </a:prstGeom>
                          <a:noFill/>
                          <a:ln w="1">
                            <a:noFill/>
                            <a:miter lim="800000"/>
                            <a:headEnd/>
                            <a:tailEnd type="none" w="med" len="med"/>
                          </a:ln>
                          <a:effectLst/>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569.50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广汽集团</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35405" cy="35941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5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539.35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格力电器</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857375" cy="35941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57600" cy="360000"/>
                          </a:xfrm>
                          <a:prstGeom prst="rect">
                            <a:avLst/>
                          </a:prstGeom>
                          <a:noFill/>
                          <a:ln w="1">
                            <a:noFill/>
                            <a:miter lim="800000"/>
                            <a:headEnd/>
                            <a:tailEnd type="none" w="med" len="med"/>
                          </a:ln>
                          <a:effectLst/>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535.83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美的集团</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04900" cy="35941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052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504.90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交通银行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87120" cy="35941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872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492.87</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青岛海尔</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27405" cy="3594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0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473.37</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海康威视</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799590" cy="359410"/>
                  <wp:effectExtent l="0" t="0" r="0" b="254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468.18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分众传媒</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773430" cy="359410"/>
                  <wp:effectExtent l="0" t="0" r="762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4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449.82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中国核电</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96365" cy="359410"/>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96800" cy="360000"/>
                          </a:xfrm>
                          <a:prstGeom prst="rect">
                            <a:avLst/>
                          </a:prstGeom>
                          <a:noFill/>
                          <a:ln w="1">
                            <a:noFill/>
                            <a:miter lim="800000"/>
                            <a:headEnd/>
                            <a:tailEnd type="none" w="med" len="med"/>
                          </a:ln>
                          <a:effectLst/>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435.30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华侨城A</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62685" cy="35941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28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427.15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长城汽车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78585" cy="35941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88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386.34</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伊利股份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67995" cy="359410"/>
                  <wp:effectExtent l="0" t="0" r="825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375.60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26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海澜之家</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18160" cy="35941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8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364.25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长安汽车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795020" cy="359410"/>
                  <wp:effectExtent l="0" t="0" r="508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354.92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上港集团</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47165" cy="359410"/>
                  <wp:effectExtent l="0" t="0" r="635" b="2540"/>
                  <wp:docPr id="42" name="图片 42" descr="C:\Users\ADMINI~1\AppData\Local\Temp\WeChat Files\81113338388204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WeChat Files\811133383882046356.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472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348.36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中国交建</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93140" cy="35941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93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318.42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中国国航</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87120" cy="3594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7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308.89</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国投电力</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81380" cy="359410"/>
                  <wp:effectExtent l="0" t="0" r="0" b="2540"/>
                  <wp:docPr id="45" name="图片 45" descr="1531295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1295537(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8820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304.33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浦发银行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87120" cy="359410"/>
                  <wp:effectExtent l="0" t="0" r="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7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303.20</w:t>
            </w:r>
          </w:p>
        </w:tc>
      </w:tr>
      <w:tr w:rsidR="0082679C">
        <w:trPr>
          <w:trHeight w:val="626"/>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中信证券</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114300" distR="114300">
                  <wp:extent cx="1176020" cy="334010"/>
                  <wp:effectExtent l="0" t="0" r="5080" b="8890"/>
                  <wp:docPr id="128" name="图片 128" descr="ddecb3d6fe2c9f042841a62d31308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ddecb3d6fe2c9f042841a62d3130814_副本"/>
                          <pic:cNvPicPr>
                            <a:picLocks noChangeAspect="1"/>
                          </pic:cNvPicPr>
                        </pic:nvPicPr>
                        <pic:blipFill>
                          <a:blip r:embed="rId42"/>
                          <a:stretch>
                            <a:fillRect/>
                          </a:stretch>
                        </pic:blipFill>
                        <pic:spPr>
                          <a:xfrm>
                            <a:off x="0" y="0"/>
                            <a:ext cx="1176020" cy="33401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302.46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万达电影</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97535" cy="35941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302.31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中国国旅</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74015" cy="359410"/>
                  <wp:effectExtent l="0" t="0" r="6985"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301.41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温氏股份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241425" cy="359410"/>
                  <wp:effectExtent l="0" t="0" r="0" b="2540"/>
                  <wp:docPr id="50" name="图片 50" descr="C:\Users\ADMINI~1\AppData\Local\Temp\WeChat Files\821067103530639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1\AppData\Local\Temp\WeChat Files\821067103530639499.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420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300.93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中信银行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32180" cy="359410"/>
                  <wp:effectExtent l="0" t="0" r="127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2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290.33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森马服饰</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51890" cy="359410"/>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2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289.70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海螺水泥</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06780" cy="359410"/>
                  <wp:effectExtent l="0" t="0" r="762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072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286.40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民生银行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01140" cy="359410"/>
                  <wp:effectExtent l="0" t="0" r="381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1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284.42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中国中铁</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74980" cy="359410"/>
                  <wp:effectExtent l="0" t="0" r="127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5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281.82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国电电力</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77825" cy="359410"/>
                  <wp:effectExtent l="0" t="0" r="317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8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274.60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航天信息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788795" cy="359410"/>
                  <wp:effectExtent l="0" t="0" r="1905"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89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273.71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华能国际</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91795" cy="359410"/>
                  <wp:effectExtent l="0" t="0" r="8255"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2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271.93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中国铁建</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49580" cy="359410"/>
                  <wp:effectExtent l="0" t="0" r="762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0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271.81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中国联通</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619125" cy="359410"/>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9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269.42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47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五粮液</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75740" cy="359410"/>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760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265.54</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中国太保</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10590" cy="359410"/>
                  <wp:effectExtent l="0" t="0" r="381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08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260.03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万科A</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68755" cy="359410"/>
                  <wp:effectExtent l="0" t="0" r="0" b="2540"/>
                  <wp:docPr id="63" name="图片 63" descr="C:\Users\ADMINI~1\AppData\Local\Temp\WeChat Files\63985341446685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WeChat Files\639853414466855554.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4688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257.81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上海医药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68375" cy="359410"/>
                  <wp:effectExtent l="0" t="0" r="3175"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68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228.60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兴业银行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299210" cy="359410"/>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99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223.58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比亚迪</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32765" cy="359410"/>
                  <wp:effectExtent l="0" t="0" r="635"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28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223.20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东方航空</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47165" cy="359410"/>
                  <wp:effectExtent l="0" t="0" r="635"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7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222.41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南方航空</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245235" cy="359410"/>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4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220.20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海通证券</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24000" cy="381000"/>
                  <wp:effectExtent l="0" t="0" r="0" b="0"/>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3365" cy="381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220.01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东方明珠</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762635" cy="359410"/>
                  <wp:effectExtent l="0" t="0" r="0"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3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217.48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双汇发展</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717040" cy="359410"/>
                  <wp:effectExtent l="0" t="0" r="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17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215.21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中国神华</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11555" cy="359410"/>
                  <wp:effectExtent l="0" t="0" r="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11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210.25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恒瑞医药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647700" cy="359410"/>
                  <wp:effectExtent l="0" t="0" r="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0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208.59</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浙能电力</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27990" cy="359410"/>
                  <wp:effectExtent l="0" t="0" r="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8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208.05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上海机场</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56615" cy="359410"/>
                  <wp:effectExtent l="0" t="0" r="635" b="2540"/>
                  <wp:docPr id="75" name="图片 75" descr="C:\Users\ADMINI~1\AppData\Local\Temp\WeChat Files\25605594720080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WeChat Files\256055947200808795.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8568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207.24</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完美世界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734060" cy="359410"/>
                  <wp:effectExtent l="0" t="0" r="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34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206.85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华域汽车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95605" cy="359410"/>
                  <wp:effectExtent l="0" t="0" r="444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60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204.08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中南传媒</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619125" cy="359410"/>
                  <wp:effectExtent l="0" t="0" r="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9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201.10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云南白药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273050" cy="359410"/>
                  <wp:effectExtent l="0" t="0" r="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199.07</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万华化学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698625" cy="359410"/>
                  <wp:effectExtent l="0" t="0" r="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99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194.99</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国泰君安</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2004695" cy="359410"/>
                  <wp:effectExtent l="0" t="0" r="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05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192.36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华东医药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02590" cy="359410"/>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3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187.86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69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大秦铁路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57200" cy="359410"/>
                  <wp:effectExtent l="0" t="0" r="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183.82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康美药业</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457960" cy="359410"/>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458000" cy="360000"/>
                          </a:xfrm>
                          <a:prstGeom prst="rect">
                            <a:avLst/>
                          </a:prstGeom>
                          <a:noFill/>
                          <a:ln w="1">
                            <a:noFill/>
                            <a:miter lim="800000"/>
                            <a:headEnd/>
                            <a:tailEnd type="none" w="med" len="med"/>
                          </a:ln>
                          <a:effectLst/>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183.62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华电国际</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85570" cy="359410"/>
                  <wp:effectExtent l="0" t="0" r="508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3860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175.40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华夏幸福</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91260" cy="359410"/>
                  <wp:effectExtent l="0" t="0" r="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1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173.47</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宇通客车</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15110" cy="359410"/>
                  <wp:effectExtent l="0" t="0" r="0" b="254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1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166.61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光大银行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760220" cy="359410"/>
                  <wp:effectExtent l="0" t="0" r="0"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60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162.60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大华股份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996950" cy="359410"/>
                  <wp:effectExtent l="0" t="0" r="0"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97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161.10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平安银行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78205" cy="359410"/>
                  <wp:effectExtent l="0" t="0" r="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78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155.56</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三七互娱</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10005" cy="359410"/>
                  <wp:effectExtent l="0" t="0" r="4445" b="2540"/>
                  <wp:docPr id="91" name="图片 91" descr="C:\Users\ADMINI~1\AppData\Local\Temp\WeChat Files\5199729811892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1\AppData\Local\Temp\WeChat Files\519972981189215239.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3104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153.52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中国电影</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01090" cy="359410"/>
                  <wp:effectExtent l="0" t="0" r="3810" b="254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101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153.30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广发证券</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41095" cy="359410"/>
                  <wp:effectExtent l="0" t="0" r="1905"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412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150.01</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北京银行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73480" cy="359410"/>
                  <wp:effectExtent l="0" t="0" r="7620"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3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148.73</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中文传媒</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48995" cy="359410"/>
                  <wp:effectExtent l="0" t="0" r="8255" b="2540"/>
                  <wp:docPr id="95" name="图片 95" descr="C:\Users\ADMINI~1\AppData\Local\Temp\WeChat Files\39264298799529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1\AppData\Local\Temp\WeChat Files\392642987995293486.jp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849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147.65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华夏银行</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202055" cy="359410"/>
                  <wp:effectExtent l="0" t="0" r="0" b="25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02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145.38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康得新</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40130" cy="359410"/>
                  <wp:effectExtent l="0" t="0" r="762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40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142.05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青岛啤酒</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72135" cy="359410"/>
                  <wp:effectExtent l="0" t="0" r="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4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140.05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洋河股份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011555" cy="359410"/>
                  <wp:effectExtent l="0" t="0" r="0" b="2540"/>
                  <wp:docPr id="99"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56"/>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11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137.50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申万宏源</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37285" cy="359410"/>
                  <wp:effectExtent l="0" t="0" r="5715"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137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135.75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建发股份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515110" cy="359410"/>
                  <wp:effectExtent l="0" t="0" r="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15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135.10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宁沪高速</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417195" cy="359410"/>
                  <wp:effectExtent l="0" t="0" r="1905"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7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133.59</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华泰证券</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759460" cy="359410"/>
                  <wp:effectExtent l="0" t="0" r="2540"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9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126.45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招商证券</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03020" cy="359410"/>
                  <wp:effectExtent l="0" t="0" r="0" b="2540"/>
                  <wp:docPr id="104" name="图片 104" descr="C:\Users\ADMINI~1\AppData\Local\Temp\WeChat Files\33420081468839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1\AppData\Local\Temp\WeChat Files\334200814688395406.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3032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124.50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91</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蓝色光标</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59790" cy="359410"/>
                  <wp:effectExtent l="0" t="0" r="0" b="25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04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124.20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92</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碧水源</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831215" cy="359410"/>
                  <wp:effectExtent l="0" t="0" r="6985" b="2540"/>
                  <wp:docPr id="106" name="图片 106" descr="C:\Users\ADMINI~1\AppData\Local\Temp\WeChat Files\55300117860351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1\AppData\Local\Temp\WeChat Files\553001178603511717.jp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831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123.50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93</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锦江股份</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388620" cy="359410"/>
                  <wp:effectExtent l="0" t="0" r="0"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888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123.02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94</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招商蛇口</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19505" cy="359410"/>
                  <wp:effectExtent l="0" t="0" r="4445" b="2540"/>
                  <wp:docPr id="108" name="图片 108" descr="C:\Users\ADMINI~1\AppData\Local\Temp\WeChat Files\56548078251917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1\AppData\Local\Temp\WeChat Files\565480782519179801.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1196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121.38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95</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正泰电器</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846580" cy="359410"/>
                  <wp:effectExtent l="0" t="0" r="1270" b="2540"/>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468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119.80</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96</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东阿阿胶</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298450" cy="359410"/>
                  <wp:effectExtent l="0" t="0" r="6350"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988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119.72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97</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TCL集团</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86740" cy="359410"/>
                  <wp:effectExtent l="0" t="0" r="381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86800" cy="360000"/>
                          </a:xfrm>
                          <a:prstGeom prst="rect">
                            <a:avLst/>
                          </a:prstGeom>
                          <a:noFill/>
                          <a:ln w="9525">
                            <a:noFill/>
                            <a:miter lim="800000"/>
                            <a:headEnd/>
                            <a:tailEnd/>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118.62</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98</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物产中大</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349375" cy="359410"/>
                  <wp:effectExtent l="0" t="0" r="3175"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500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116.88</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99</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复星医药</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1101090" cy="359410"/>
                  <wp:effectExtent l="0" t="0" r="381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01600" cy="360000"/>
                          </a:xfrm>
                          <a:prstGeom prst="rect">
                            <a:avLst/>
                          </a:prstGeom>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115.65</w:t>
            </w:r>
          </w:p>
        </w:tc>
      </w:tr>
      <w:tr w:rsidR="0082679C">
        <w:trPr>
          <w:trHeight w:val="567"/>
        </w:trPr>
        <w:tc>
          <w:tcPr>
            <w:tcW w:w="968" w:type="dxa"/>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100</w:t>
            </w:r>
          </w:p>
        </w:tc>
        <w:tc>
          <w:tcPr>
            <w:tcW w:w="1556"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凤凰传媒</w:t>
            </w:r>
          </w:p>
        </w:tc>
        <w:tc>
          <w:tcPr>
            <w:tcW w:w="4033"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255270" cy="359410"/>
                  <wp:effectExtent l="0" t="0" r="0" b="254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5600" cy="360000"/>
                          </a:xfrm>
                          <a:prstGeom prst="rect">
                            <a:avLst/>
                          </a:prstGeom>
                          <a:noFill/>
                          <a:ln w="9525">
                            <a:noFill/>
                          </a:ln>
                        </pic:spPr>
                      </pic:pic>
                    </a:graphicData>
                  </a:graphic>
                </wp:inline>
              </w:drawing>
            </w:r>
          </w:p>
        </w:tc>
        <w:tc>
          <w:tcPr>
            <w:tcW w:w="1965" w:type="dxa"/>
            <w:shd w:val="clear" w:color="auto" w:fill="auto"/>
            <w:vAlign w:val="center"/>
          </w:tcPr>
          <w:p w:rsidR="0082679C" w:rsidRDefault="00B435E0">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113.05</w:t>
            </w:r>
          </w:p>
        </w:tc>
      </w:tr>
    </w:tbl>
    <w:p w:rsidR="0082679C" w:rsidRDefault="00B435E0">
      <w:pPr>
        <w:pStyle w:val="3"/>
        <w:numPr>
          <w:ilvl w:val="0"/>
          <w:numId w:val="2"/>
        </w:numPr>
        <w:spacing w:line="300" w:lineRule="auto"/>
        <w:rPr>
          <w:rFonts w:ascii="宋体" w:hAnsi="宋体" w:cs="宋体"/>
          <w:sz w:val="28"/>
          <w:szCs w:val="28"/>
        </w:rPr>
      </w:pPr>
      <w:bookmarkStart w:id="15" w:name="_Toc521338487"/>
      <w:bookmarkStart w:id="16" w:name="_Toc521346543"/>
      <w:r>
        <w:rPr>
          <w:rFonts w:ascii="宋体" w:hAnsi="宋体" w:cs="宋体" w:hint="eastAsia"/>
          <w:sz w:val="28"/>
          <w:szCs w:val="28"/>
        </w:rPr>
        <w:t>数据面面观</w:t>
      </w:r>
      <w:bookmarkEnd w:id="15"/>
      <w:bookmarkEnd w:id="16"/>
    </w:p>
    <w:p w:rsidR="0082679C" w:rsidRDefault="00B435E0">
      <w:pPr>
        <w:widowControl/>
        <w:spacing w:line="30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sz w:val="24"/>
          <w:szCs w:val="24"/>
        </w:rPr>
        <w:t>与去年榜单相比，</w:t>
      </w:r>
      <w:r>
        <w:rPr>
          <w:rFonts w:ascii="宋体" w:eastAsia="宋体" w:hAnsi="宋体" w:cs="宋体" w:hint="eastAsia"/>
          <w:sz w:val="24"/>
          <w:szCs w:val="24"/>
        </w:rPr>
        <w:t>工商银行、建设银行等11家企业，在</w:t>
      </w:r>
      <w:r>
        <w:rPr>
          <w:rFonts w:ascii="宋体" w:eastAsia="宋体" w:hAnsi="宋体" w:cs="宋体"/>
          <w:sz w:val="24"/>
          <w:szCs w:val="24"/>
        </w:rPr>
        <w:t>2016</w:t>
      </w:r>
      <w:r>
        <w:rPr>
          <w:rFonts w:ascii="宋体" w:eastAsia="宋体" w:hAnsi="宋体" w:cs="宋体" w:hint="eastAsia"/>
          <w:sz w:val="24"/>
          <w:szCs w:val="24"/>
        </w:rPr>
        <w:t>年度至</w:t>
      </w:r>
      <w:r>
        <w:rPr>
          <w:rFonts w:ascii="宋体" w:eastAsia="宋体" w:hAnsi="宋体" w:cs="宋体"/>
          <w:sz w:val="24"/>
          <w:szCs w:val="24"/>
        </w:rPr>
        <w:t>2017</w:t>
      </w:r>
      <w:r>
        <w:rPr>
          <w:rFonts w:ascii="宋体" w:eastAsia="宋体" w:hAnsi="宋体" w:cs="宋体" w:hint="eastAsia"/>
          <w:sz w:val="24"/>
          <w:szCs w:val="24"/>
        </w:rPr>
        <w:t>年度总榜排名中序位不变，品牌价值共计10553.73亿元，占总榜比重为28.09%。农业银行、上汽集团等20家企业，在2</w:t>
      </w:r>
      <w:r>
        <w:rPr>
          <w:rFonts w:ascii="宋体" w:eastAsia="宋体" w:hAnsi="宋体" w:cs="宋体"/>
          <w:sz w:val="24"/>
          <w:szCs w:val="24"/>
        </w:rPr>
        <w:t>016</w:t>
      </w:r>
      <w:r>
        <w:rPr>
          <w:rFonts w:ascii="宋体" w:eastAsia="宋体" w:hAnsi="宋体" w:cs="宋体" w:hint="eastAsia"/>
          <w:sz w:val="24"/>
          <w:szCs w:val="24"/>
        </w:rPr>
        <w:t>年度至</w:t>
      </w:r>
      <w:r>
        <w:rPr>
          <w:rFonts w:ascii="宋体" w:eastAsia="宋体" w:hAnsi="宋体" w:cs="宋体"/>
          <w:sz w:val="24"/>
          <w:szCs w:val="24"/>
        </w:rPr>
        <w:t>2017</w:t>
      </w:r>
      <w:r>
        <w:rPr>
          <w:rFonts w:ascii="宋体" w:eastAsia="宋体" w:hAnsi="宋体" w:cs="宋体" w:hint="eastAsia"/>
          <w:sz w:val="24"/>
          <w:szCs w:val="24"/>
        </w:rPr>
        <w:t>年度总榜排名中序位上升，品牌价值共计9341.69亿元，占总榜比重为24.86%。中国核电、华侨城A等18家企业首次进入</w:t>
      </w:r>
      <w:r>
        <w:rPr>
          <w:rFonts w:ascii="宋体" w:eastAsia="宋体" w:hAnsi="宋体" w:cs="宋体"/>
          <w:sz w:val="24"/>
          <w:szCs w:val="24"/>
        </w:rPr>
        <w:t>2017</w:t>
      </w:r>
      <w:r>
        <w:rPr>
          <w:rFonts w:ascii="宋体" w:eastAsia="宋体" w:hAnsi="宋体" w:cs="宋体" w:hint="eastAsia"/>
          <w:sz w:val="24"/>
          <w:szCs w:val="24"/>
        </w:rPr>
        <w:t>榜单，品牌价值共计3855.82亿元，占总榜比重为10.26%。剩余51家企业品牌价值共计13823.78亿元，占总榜比重为36.79%</w:t>
      </w:r>
    </w:p>
    <w:p w:rsidR="0082679C" w:rsidRDefault="00B435E0">
      <w:pPr>
        <w:spacing w:line="300" w:lineRule="auto"/>
        <w:ind w:firstLineChars="200" w:firstLine="482"/>
        <w:rPr>
          <w:rFonts w:ascii="宋体" w:eastAsia="宋体" w:hAnsi="宋体" w:cs="宋体"/>
          <w:sz w:val="24"/>
          <w:szCs w:val="24"/>
        </w:rPr>
      </w:pPr>
      <w:r>
        <w:rPr>
          <w:rFonts w:ascii="宋体" w:eastAsia="宋体" w:hAnsi="宋体" w:cs="宋体" w:hint="eastAsia"/>
          <w:b/>
          <w:bCs/>
          <w:sz w:val="24"/>
          <w:szCs w:val="24"/>
        </w:rPr>
        <w:t>比较总榜各行业品牌价值累计发现</w:t>
      </w:r>
      <w:r>
        <w:rPr>
          <w:rFonts w:ascii="宋体" w:eastAsia="宋体" w:hAnsi="宋体" w:cs="宋体" w:hint="eastAsia"/>
          <w:sz w:val="24"/>
          <w:szCs w:val="24"/>
        </w:rPr>
        <w:t>，金融业拔得头筹，上榜企业商标品牌价值规模及所占比重，以及企业数量所占比重均位居前列。制造业与电力、热力、燃气及水生产和供应业品牌价值规模分列各行业第二、第三位，并且制造业的上榜企业数量最多，达32家。在制造业中，汽车、医药、电器、食品和酒类等与人民群众生活息息相关的上市公司，在消费者关注度、满意度、忠诚度以及品牌信用、社会责任等方面表现不俗，行业商标品牌价值总和较高。</w:t>
      </w:r>
    </w:p>
    <w:p w:rsidR="0082679C" w:rsidRDefault="00B435E0">
      <w:pPr>
        <w:spacing w:line="300" w:lineRule="auto"/>
        <w:ind w:firstLine="420"/>
        <w:rPr>
          <w:rFonts w:ascii="宋体" w:eastAsia="宋体" w:hAnsi="宋体" w:cs="宋体"/>
          <w:szCs w:val="21"/>
        </w:rPr>
      </w:pPr>
      <w:r>
        <w:rPr>
          <w:rFonts w:ascii="宋体" w:eastAsia="宋体" w:hAnsi="宋体" w:cs="宋体" w:hint="eastAsia"/>
          <w:noProof/>
          <w:szCs w:val="21"/>
        </w:rPr>
        <w:lastRenderedPageBreak/>
        <w:drawing>
          <wp:inline distT="0" distB="0" distL="0" distR="0">
            <wp:extent cx="5199380" cy="3215005"/>
            <wp:effectExtent l="0" t="0" r="1270" b="44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具体而言，采矿业、金融业与建筑业上榜企业的平均商标品牌价值额分列前三。</w:t>
      </w:r>
    </w:p>
    <w:p w:rsidR="0082679C" w:rsidRDefault="00B435E0">
      <w:pPr>
        <w:spacing w:line="300" w:lineRule="auto"/>
        <w:rPr>
          <w:rFonts w:ascii="宋体" w:eastAsia="宋体" w:hAnsi="宋体" w:cs="宋体"/>
          <w:szCs w:val="21"/>
        </w:rPr>
      </w:pPr>
      <w:r>
        <w:rPr>
          <w:rFonts w:ascii="宋体" w:eastAsia="宋体" w:hAnsi="宋体" w:cs="宋体" w:hint="eastAsia"/>
          <w:noProof/>
          <w:szCs w:val="21"/>
        </w:rPr>
        <w:drawing>
          <wp:inline distT="0" distB="0" distL="0" distR="0">
            <wp:extent cx="5274310" cy="2376170"/>
            <wp:effectExtent l="0" t="0" r="2540" b="50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文化、体育和娱乐业、水利、环境和公共设施业以及住宿与餐饮业等与消费者日常生活相关度较高的行业，其品牌价值占市值的比重明显较高。</w:t>
      </w:r>
    </w:p>
    <w:p w:rsidR="0082679C" w:rsidRDefault="00B435E0">
      <w:pPr>
        <w:spacing w:line="30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2679C" w:rsidRDefault="00B435E0">
      <w:pPr>
        <w:pStyle w:val="a8"/>
        <w:spacing w:line="300" w:lineRule="auto"/>
        <w:ind w:firstLineChars="200" w:firstLine="482"/>
        <w:rPr>
          <w:rFonts w:ascii="宋体" w:eastAsia="宋体" w:hAnsi="宋体" w:cs="宋体"/>
          <w:szCs w:val="21"/>
        </w:rPr>
      </w:pPr>
      <w:r>
        <w:rPr>
          <w:rFonts w:ascii="宋体" w:eastAsia="宋体" w:hAnsi="宋体" w:cs="宋体" w:hint="eastAsia"/>
          <w:b/>
          <w:bCs/>
          <w:sz w:val="24"/>
          <w:szCs w:val="24"/>
        </w:rPr>
        <w:t>在品牌价值行业集中度方面</w:t>
      </w:r>
      <w:r>
        <w:rPr>
          <w:rFonts w:ascii="宋体" w:eastAsia="宋体" w:hAnsi="宋体" w:cs="宋体" w:hint="eastAsia"/>
          <w:sz w:val="24"/>
          <w:szCs w:val="24"/>
        </w:rPr>
        <w:t>，各行业价值集中度差异较大。入选总榜超过4个企业的行业共8个，以HHI</w:t>
      </w:r>
      <w:r>
        <w:rPr>
          <w:rStyle w:val="ad"/>
          <w:rFonts w:ascii="宋体" w:eastAsia="宋体" w:hAnsi="宋体" w:cs="宋体" w:hint="eastAsia"/>
          <w:szCs w:val="21"/>
        </w:rPr>
        <w:footnoteReference w:id="1"/>
      </w:r>
      <w:r>
        <w:rPr>
          <w:rFonts w:ascii="宋体" w:eastAsia="宋体" w:hAnsi="宋体" w:cs="宋体" w:hint="eastAsia"/>
          <w:sz w:val="24"/>
          <w:szCs w:val="24"/>
        </w:rPr>
        <w:t>比较品牌价值的行业集中度，可以发现金融、制造业上榜企业数量虽多，但品牌价值集中度相对较低，而建筑、批发和零售以及信息传输、软件和信息技术服务业相反，其品牌价值集中度较高，更少的企业拥有更多的品牌价值。</w:t>
      </w:r>
    </w:p>
    <w:p w:rsidR="0082679C" w:rsidRDefault="00B435E0">
      <w:pPr>
        <w:pStyle w:val="afd"/>
        <w:spacing w:line="300" w:lineRule="auto"/>
        <w:ind w:leftChars="50" w:left="105" w:firstLineChars="0" w:firstLine="315"/>
        <w:jc w:val="center"/>
        <w:rPr>
          <w:rFonts w:ascii="宋体" w:eastAsia="宋体" w:hAnsi="宋体" w:cs="宋体"/>
          <w:szCs w:val="21"/>
        </w:rPr>
      </w:pPr>
      <w:r>
        <w:rPr>
          <w:rFonts w:ascii="宋体" w:eastAsia="宋体" w:hAnsi="宋体" w:cs="宋体" w:hint="eastAsia"/>
          <w:noProof/>
          <w:szCs w:val="21"/>
        </w:rPr>
        <w:drawing>
          <wp:inline distT="0" distB="0" distL="0" distR="0">
            <wp:extent cx="4572000" cy="269049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2679C" w:rsidRDefault="00B435E0">
      <w:pPr>
        <w:spacing w:line="300" w:lineRule="auto"/>
        <w:ind w:firstLineChars="200" w:firstLine="482"/>
        <w:rPr>
          <w:rFonts w:ascii="宋体" w:eastAsia="宋体" w:hAnsi="宋体" w:cs="宋体"/>
          <w:szCs w:val="21"/>
        </w:rPr>
      </w:pPr>
      <w:r>
        <w:rPr>
          <w:rFonts w:ascii="宋体" w:eastAsia="宋体" w:hAnsi="宋体" w:cs="宋体" w:hint="eastAsia"/>
          <w:b/>
          <w:bCs/>
          <w:sz w:val="24"/>
          <w:szCs w:val="24"/>
        </w:rPr>
        <w:t>分析上榜企业的经营业绩，</w:t>
      </w:r>
      <w:r>
        <w:rPr>
          <w:rFonts w:ascii="宋体" w:eastAsia="宋体" w:hAnsi="宋体" w:cs="宋体" w:hint="eastAsia"/>
          <w:sz w:val="24"/>
          <w:szCs w:val="24"/>
        </w:rPr>
        <w:t>各上榜行业企业的平均净资产收益率（ROE）均高于行业上市公司平均水平。行业平均ROE越低的行业，其上榜企业ROE超过行业平均水平越多，如租赁和商务服务业、制造业和农、林、牧、渔业等。</w:t>
      </w:r>
    </w:p>
    <w:p w:rsidR="0082679C" w:rsidRDefault="00B435E0">
      <w:pPr>
        <w:spacing w:line="300" w:lineRule="auto"/>
        <w:ind w:firstLine="420"/>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3004820"/>
            <wp:effectExtent l="0" t="0" r="2540" b="508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2679C" w:rsidRDefault="00B435E0">
      <w:pPr>
        <w:pStyle w:val="afd"/>
        <w:spacing w:line="300" w:lineRule="auto"/>
        <w:ind w:leftChars="50" w:left="105" w:firstLine="482"/>
        <w:rPr>
          <w:rFonts w:ascii="宋体" w:eastAsia="宋体" w:hAnsi="宋体" w:cs="宋体"/>
          <w:szCs w:val="21"/>
        </w:rPr>
      </w:pPr>
      <w:r>
        <w:rPr>
          <w:rFonts w:ascii="宋体" w:eastAsia="宋体" w:hAnsi="宋体" w:cs="宋体" w:hint="eastAsia"/>
          <w:b/>
          <w:bCs/>
          <w:sz w:val="24"/>
          <w:szCs w:val="24"/>
        </w:rPr>
        <w:t>在行业分布方面，</w:t>
      </w:r>
      <w:r>
        <w:rPr>
          <w:rFonts w:ascii="宋体" w:eastAsia="宋体" w:hAnsi="宋体" w:cs="宋体" w:hint="eastAsia"/>
          <w:sz w:val="24"/>
          <w:szCs w:val="24"/>
        </w:rPr>
        <w:t>排名前10的企业有5家来自金融业，以银行、多元金融企业为主，排名前50的企业则更多来自于制造业，这种排名的分布差异也与金融、制造业行业特性相关。</w:t>
      </w:r>
    </w:p>
    <w:p w:rsidR="0082679C" w:rsidRDefault="00B435E0">
      <w:pPr>
        <w:pStyle w:val="afd"/>
        <w:spacing w:line="300" w:lineRule="auto"/>
        <w:ind w:firstLineChars="0" w:firstLine="0"/>
      </w:pPr>
      <w:r>
        <w:rPr>
          <w:noProof/>
        </w:rPr>
        <w:drawing>
          <wp:inline distT="0" distB="0" distL="114300" distR="114300">
            <wp:extent cx="5647055" cy="2717165"/>
            <wp:effectExtent l="0" t="0" r="10795" b="698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15"/>
                    <a:stretch>
                      <a:fillRect/>
                    </a:stretch>
                  </pic:blipFill>
                  <pic:spPr>
                    <a:xfrm>
                      <a:off x="0" y="0"/>
                      <a:ext cx="5647055" cy="2717165"/>
                    </a:xfrm>
                    <a:prstGeom prst="rect">
                      <a:avLst/>
                    </a:prstGeom>
                  </pic:spPr>
                </pic:pic>
              </a:graphicData>
            </a:graphic>
          </wp:inline>
        </w:drawing>
      </w:r>
    </w:p>
    <w:p w:rsidR="0082679C" w:rsidRDefault="00B435E0">
      <w:pPr>
        <w:pStyle w:val="afd"/>
        <w:spacing w:line="300" w:lineRule="auto"/>
        <w:ind w:leftChars="50" w:left="105" w:firstLine="480"/>
        <w:rPr>
          <w:rFonts w:ascii="宋体" w:eastAsia="宋体" w:hAnsi="宋体" w:cs="宋体"/>
          <w:sz w:val="24"/>
          <w:szCs w:val="24"/>
        </w:rPr>
      </w:pPr>
      <w:r>
        <w:rPr>
          <w:rFonts w:ascii="宋体" w:eastAsia="宋体" w:hAnsi="宋体" w:cs="宋体" w:hint="eastAsia"/>
          <w:sz w:val="24"/>
          <w:szCs w:val="24"/>
        </w:rPr>
        <w:t>另外，与人们一般印象不同，除前十名品牌所属企业的资产规模较大外，第11至100名的企业规模差异并不明显，其排名与资产规模相关性较低。一方面意味着行业龙头规模效应与商标品牌价值的提升相互促进，另一方面企业可以通过品牌管理，确定优势、发挥所长，提升品牌价值。金融、制造业等主要行业也显示出相似特征。</w:t>
      </w:r>
    </w:p>
    <w:p w:rsidR="0082679C" w:rsidRDefault="00B435E0">
      <w:pPr>
        <w:pStyle w:val="afd"/>
        <w:spacing w:line="300" w:lineRule="auto"/>
        <w:ind w:left="480" w:firstLineChars="0" w:firstLine="360"/>
        <w:rPr>
          <w:rFonts w:ascii="宋体" w:eastAsia="宋体" w:hAnsi="宋体" w:cs="宋体"/>
          <w:szCs w:val="21"/>
        </w:rPr>
      </w:pPr>
      <w:r>
        <w:rPr>
          <w:rFonts w:ascii="宋体" w:eastAsia="宋体" w:hAnsi="宋体" w:cs="宋体" w:hint="eastAsia"/>
          <w:noProof/>
          <w:szCs w:val="21"/>
        </w:rPr>
        <w:lastRenderedPageBreak/>
        <w:drawing>
          <wp:inline distT="0" distB="0" distL="0" distR="0">
            <wp:extent cx="3747770" cy="1976120"/>
            <wp:effectExtent l="0" t="0" r="5080" b="508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2679C" w:rsidRDefault="00B435E0">
      <w:pPr>
        <w:pStyle w:val="afd"/>
        <w:spacing w:line="300" w:lineRule="auto"/>
        <w:ind w:left="480" w:firstLineChars="0" w:firstLine="360"/>
        <w:rPr>
          <w:rFonts w:ascii="宋体" w:eastAsia="宋体" w:hAnsi="宋体" w:cs="宋体"/>
          <w:b/>
          <w:szCs w:val="21"/>
        </w:rPr>
      </w:pPr>
      <w:r>
        <w:rPr>
          <w:rFonts w:ascii="宋体" w:eastAsia="宋体" w:hAnsi="宋体" w:cs="宋体" w:hint="eastAsia"/>
          <w:noProof/>
          <w:szCs w:val="21"/>
        </w:rPr>
        <w:drawing>
          <wp:inline distT="0" distB="0" distL="0" distR="0">
            <wp:extent cx="3766185" cy="2162175"/>
            <wp:effectExtent l="0" t="0" r="5715"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2679C" w:rsidRDefault="00B435E0">
      <w:pPr>
        <w:pStyle w:val="afd"/>
        <w:spacing w:line="300" w:lineRule="auto"/>
        <w:ind w:left="480" w:firstLineChars="0" w:firstLine="360"/>
        <w:rPr>
          <w:rFonts w:ascii="宋体" w:eastAsia="宋体" w:hAnsi="宋体" w:cs="宋体"/>
          <w:b/>
          <w:szCs w:val="21"/>
        </w:rPr>
      </w:pPr>
      <w:r>
        <w:rPr>
          <w:rFonts w:ascii="宋体" w:eastAsia="宋体" w:hAnsi="宋体" w:cs="宋体" w:hint="eastAsia"/>
          <w:noProof/>
          <w:szCs w:val="21"/>
        </w:rPr>
        <w:drawing>
          <wp:inline distT="0" distB="0" distL="0" distR="0">
            <wp:extent cx="3805555" cy="2110740"/>
            <wp:effectExtent l="0" t="0" r="4445" b="381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2679C" w:rsidRDefault="00B435E0">
      <w:pPr>
        <w:pStyle w:val="afd"/>
        <w:spacing w:line="300" w:lineRule="auto"/>
        <w:ind w:leftChars="50" w:left="105" w:firstLine="482"/>
        <w:rPr>
          <w:rFonts w:ascii="宋体" w:eastAsia="宋体" w:hAnsi="宋体" w:cs="宋体"/>
          <w:sz w:val="24"/>
          <w:szCs w:val="24"/>
        </w:rPr>
      </w:pPr>
      <w:r>
        <w:rPr>
          <w:rFonts w:ascii="宋体" w:eastAsia="宋体" w:hAnsi="宋体" w:cs="宋体" w:hint="eastAsia"/>
          <w:b/>
          <w:bCs/>
          <w:sz w:val="24"/>
          <w:szCs w:val="24"/>
        </w:rPr>
        <w:t>在地域分布方面，</w:t>
      </w:r>
      <w:r>
        <w:rPr>
          <w:rFonts w:ascii="宋体" w:eastAsia="宋体" w:hAnsi="宋体" w:cs="宋体" w:hint="eastAsia"/>
          <w:sz w:val="24"/>
          <w:szCs w:val="24"/>
        </w:rPr>
        <w:t>“百强”企业来自全国20个省、自治区和直辖市，其中北京、广东和上海的上榜企业数量、商标品牌价值总额皆位居前三。</w:t>
      </w:r>
    </w:p>
    <w:p w:rsidR="0082679C" w:rsidRDefault="00B435E0">
      <w:pPr>
        <w:pStyle w:val="afd"/>
        <w:spacing w:line="300" w:lineRule="auto"/>
        <w:ind w:left="480" w:firstLineChars="0" w:firstLine="360"/>
        <w:rPr>
          <w:rFonts w:ascii="宋体" w:eastAsia="宋体" w:hAnsi="宋体" w:cs="宋体"/>
          <w:szCs w:val="21"/>
        </w:rPr>
      </w:pPr>
      <w:r>
        <w:rPr>
          <w:rFonts w:ascii="宋体" w:eastAsia="宋体" w:hAnsi="宋体" w:cs="宋体" w:hint="eastAsia"/>
          <w:noProof/>
          <w:szCs w:val="21"/>
        </w:rPr>
        <w:lastRenderedPageBreak/>
        <w:drawing>
          <wp:inline distT="0" distB="0" distL="0" distR="0">
            <wp:extent cx="4219575" cy="2357120"/>
            <wp:effectExtent l="0" t="0" r="0" b="508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2679C" w:rsidRDefault="00B435E0">
      <w:pPr>
        <w:pStyle w:val="afd"/>
        <w:spacing w:line="300" w:lineRule="auto"/>
        <w:ind w:firstLine="480"/>
        <w:rPr>
          <w:rFonts w:ascii="宋体" w:eastAsia="宋体" w:hAnsi="宋体" w:cs="宋体"/>
          <w:sz w:val="24"/>
          <w:szCs w:val="24"/>
        </w:rPr>
      </w:pPr>
      <w:r>
        <w:rPr>
          <w:rFonts w:ascii="宋体" w:eastAsia="宋体" w:hAnsi="宋体" w:cs="宋体" w:hint="eastAsia"/>
          <w:sz w:val="24"/>
          <w:szCs w:val="24"/>
        </w:rPr>
        <w:t>从分布区域方面看，东、中、西部省区皆有企业上榜，尤以直辖市、东部沿海省份及长江中下游地区省份分布较为集中。值得注意的是，在西部、边疆地区，上榜品牌具有地域性特色，且涉及行业与民生或日常消费品相关性较大，如四川省上榜品牌为五粮液、云南为云南白药、内蒙古为伊利股份、贵州省为贵州茅台。</w:t>
      </w:r>
    </w:p>
    <w:p w:rsidR="0082679C" w:rsidRDefault="00B435E0">
      <w:pPr>
        <w:pStyle w:val="afd"/>
        <w:spacing w:line="300" w:lineRule="auto"/>
        <w:ind w:left="480" w:firstLineChars="0" w:firstLine="360"/>
        <w:jc w:val="center"/>
        <w:rPr>
          <w:rFonts w:ascii="宋体" w:eastAsia="宋体" w:hAnsi="宋体" w:cs="宋体"/>
          <w:szCs w:val="21"/>
        </w:rPr>
      </w:pPr>
      <w:r>
        <w:rPr>
          <w:rFonts w:ascii="宋体" w:eastAsia="宋体" w:hAnsi="宋体" w:cs="宋体" w:hint="eastAsia"/>
          <w:noProof/>
          <w:szCs w:val="21"/>
        </w:rPr>
        <w:drawing>
          <wp:inline distT="0" distB="0" distL="0" distR="0">
            <wp:extent cx="3848100" cy="2821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0"/>
                    <a:stretch>
                      <a:fillRect/>
                    </a:stretch>
                  </pic:blipFill>
                  <pic:spPr>
                    <a:xfrm>
                      <a:off x="0" y="0"/>
                      <a:ext cx="3860706" cy="2831153"/>
                    </a:xfrm>
                    <a:prstGeom prst="rect">
                      <a:avLst/>
                    </a:prstGeom>
                  </pic:spPr>
                </pic:pic>
              </a:graphicData>
            </a:graphic>
          </wp:inline>
        </w:drawing>
      </w:r>
    </w:p>
    <w:p w:rsidR="0082679C" w:rsidRDefault="00B435E0">
      <w:pPr>
        <w:pStyle w:val="afd"/>
        <w:spacing w:line="300" w:lineRule="auto"/>
        <w:ind w:left="480" w:firstLineChars="0" w:firstLine="360"/>
        <w:jc w:val="center"/>
        <w:rPr>
          <w:rFonts w:ascii="宋体" w:eastAsia="宋体" w:hAnsi="宋体" w:cs="宋体"/>
          <w:b/>
          <w:szCs w:val="21"/>
        </w:rPr>
      </w:pPr>
      <w:r>
        <w:rPr>
          <w:rFonts w:ascii="宋体" w:eastAsia="宋体" w:hAnsi="宋体" w:cs="宋体" w:hint="eastAsia"/>
          <w:b/>
          <w:szCs w:val="21"/>
        </w:rPr>
        <w:t>图11 “百强”商标品牌分布地图</w:t>
      </w:r>
    </w:p>
    <w:p w:rsidR="0082679C" w:rsidRDefault="00B435E0">
      <w:pPr>
        <w:pStyle w:val="afd"/>
        <w:spacing w:line="300" w:lineRule="auto"/>
        <w:ind w:firstLine="480"/>
        <w:rPr>
          <w:rFonts w:ascii="宋体" w:eastAsia="宋体" w:hAnsi="宋体" w:cs="宋体"/>
          <w:sz w:val="24"/>
          <w:szCs w:val="24"/>
        </w:rPr>
      </w:pPr>
      <w:r>
        <w:rPr>
          <w:rFonts w:ascii="宋体" w:eastAsia="宋体" w:hAnsi="宋体" w:cs="宋体" w:hint="eastAsia"/>
          <w:sz w:val="24"/>
          <w:szCs w:val="24"/>
        </w:rPr>
        <w:t>与此同时，上榜企业具有地域上的集聚效应——北京凭借其政治、经济地位及充足的人力资本，在金融业、电力、热力、燃气及水生产和供应业、建筑业、交通运输、仓储邮政等多个行业发展领先，广东、浙江、上海等地区则在制造业等多个领域表现突出。其中，广东省凭借其区位优势及良好的轻工业发展基础，在电器、汽车、医药等制造业领域有优异表现，而浙江省则涌现出以海康威视、大华股份为代表的智能制造业代表性企业。</w:t>
      </w:r>
    </w:p>
    <w:p w:rsidR="0082679C" w:rsidRDefault="00B435E0">
      <w:pPr>
        <w:pStyle w:val="afd"/>
        <w:spacing w:line="300" w:lineRule="auto"/>
        <w:ind w:left="480" w:firstLineChars="0" w:firstLine="360"/>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4424045" cy="1645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1"/>
                    <a:stretch>
                      <a:fillRect/>
                    </a:stretch>
                  </pic:blipFill>
                  <pic:spPr>
                    <a:xfrm>
                      <a:off x="0" y="0"/>
                      <a:ext cx="4431892" cy="1649287"/>
                    </a:xfrm>
                    <a:prstGeom prst="rect">
                      <a:avLst/>
                    </a:prstGeom>
                  </pic:spPr>
                </pic:pic>
              </a:graphicData>
            </a:graphic>
          </wp:inline>
        </w:drawing>
      </w:r>
    </w:p>
    <w:p w:rsidR="0082679C" w:rsidRDefault="00B435E0">
      <w:pPr>
        <w:pStyle w:val="afd"/>
        <w:spacing w:line="300" w:lineRule="auto"/>
        <w:ind w:left="480" w:firstLineChars="0" w:firstLine="360"/>
        <w:jc w:val="center"/>
        <w:rPr>
          <w:rFonts w:ascii="宋体" w:eastAsia="宋体" w:hAnsi="宋体" w:cs="宋体"/>
          <w:b/>
          <w:szCs w:val="21"/>
        </w:rPr>
      </w:pPr>
      <w:r>
        <w:rPr>
          <w:rFonts w:ascii="宋体" w:eastAsia="宋体" w:hAnsi="宋体" w:cs="宋体" w:hint="eastAsia"/>
          <w:b/>
          <w:szCs w:val="21"/>
        </w:rPr>
        <w:t>图12  主要行业上榜企业地域分布情况</w:t>
      </w:r>
    </w:p>
    <w:p w:rsidR="0082679C" w:rsidRDefault="00B435E0">
      <w:pPr>
        <w:pStyle w:val="afd"/>
        <w:spacing w:line="300" w:lineRule="auto"/>
        <w:ind w:firstLine="482"/>
        <w:rPr>
          <w:rFonts w:ascii="宋体" w:eastAsia="宋体" w:hAnsi="宋体" w:cs="宋体"/>
          <w:sz w:val="24"/>
          <w:szCs w:val="24"/>
        </w:rPr>
      </w:pPr>
      <w:r>
        <w:rPr>
          <w:rFonts w:ascii="宋体" w:eastAsia="宋体" w:hAnsi="宋体" w:cs="宋体" w:hint="eastAsia"/>
          <w:b/>
          <w:bCs/>
          <w:sz w:val="24"/>
          <w:szCs w:val="24"/>
        </w:rPr>
        <w:t>在商标注册方面，</w:t>
      </w:r>
      <w:r>
        <w:rPr>
          <w:rFonts w:ascii="宋体" w:eastAsia="宋体" w:hAnsi="宋体" w:cs="宋体" w:hint="eastAsia"/>
          <w:sz w:val="24"/>
          <w:szCs w:val="24"/>
        </w:rPr>
        <w:t>《排行榜》总榜前十名的企业，注册商标持有量从51个到2208个不等。榜单中93.5%的上市公司的股票名称直接使用注册商标或者含有注册商标，是企业实施商标品牌战略的有效举措，对商标品牌统一识别、提升商标品牌的知名度和商标品牌的价值具有重要意义。《排行榜》中的上市公司商标品牌意识普遍较强，品牌国际化趋势日益明显，商标设计日趋全球传播化属性。但仍有个别上市公司使用未注册商标，或者商标使用不规范，甚至公司名称变更后未及时变更商标所有人，不但影响企业商标品牌权属和价值，而且可能带来极其严重的后果。</w:t>
      </w:r>
    </w:p>
    <w:p w:rsidR="0082679C" w:rsidRDefault="00B435E0">
      <w:pPr>
        <w:pStyle w:val="3"/>
        <w:spacing w:line="300" w:lineRule="auto"/>
        <w:rPr>
          <w:rFonts w:ascii="宋体" w:hAnsi="宋体" w:cs="宋体"/>
          <w:sz w:val="28"/>
          <w:szCs w:val="28"/>
        </w:rPr>
      </w:pPr>
      <w:bookmarkStart w:id="17" w:name="_Toc521346544"/>
      <w:bookmarkStart w:id="18" w:name="_Toc521338488"/>
      <w:r>
        <w:rPr>
          <w:rFonts w:ascii="宋体" w:hAnsi="宋体" w:cs="宋体" w:hint="eastAsia"/>
          <w:sz w:val="28"/>
          <w:szCs w:val="28"/>
        </w:rPr>
        <w:t>（二）今昔对比</w:t>
      </w:r>
      <w:bookmarkEnd w:id="17"/>
      <w:bookmarkEnd w:id="18"/>
    </w:p>
    <w:p w:rsidR="0082679C" w:rsidRDefault="00B435E0">
      <w:pPr>
        <w:pStyle w:val="4"/>
        <w:spacing w:line="300" w:lineRule="auto"/>
        <w:rPr>
          <w:rFonts w:ascii="宋体" w:hAnsi="宋体" w:cs="宋体"/>
        </w:rPr>
      </w:pPr>
      <w:bookmarkStart w:id="19" w:name="_Toc521346545"/>
      <w:r>
        <w:rPr>
          <w:rFonts w:ascii="宋体" w:hAnsi="宋体" w:cs="宋体" w:hint="eastAsia"/>
        </w:rPr>
        <w:t>1. 商标品牌价值总体提升</w:t>
      </w:r>
      <w:bookmarkEnd w:id="19"/>
    </w:p>
    <w:p w:rsidR="0082679C" w:rsidRDefault="00B435E0">
      <w:pPr>
        <w:spacing w:line="300" w:lineRule="auto"/>
        <w:ind w:firstLineChars="200" w:firstLine="480"/>
        <w:rPr>
          <w:rFonts w:ascii="宋体" w:eastAsia="宋体" w:hAnsi="宋体" w:cs="宋体"/>
          <w:szCs w:val="21"/>
        </w:rPr>
      </w:pPr>
      <w:r>
        <w:rPr>
          <w:rFonts w:ascii="宋体" w:eastAsia="宋体" w:hAnsi="宋体" w:cs="宋体" w:hint="eastAsia"/>
          <w:sz w:val="24"/>
          <w:szCs w:val="24"/>
        </w:rPr>
        <w:t>2017年，商标品牌价值排行榜总榜“百强”品牌价值合计37,575.02亿元，较2016年总榜价值增长16.60%。剔除18个新上榜的商标品牌，2016年上榜的87个商标品牌2017年价值合计33719.20亿元，同比增长11.24%。</w:t>
      </w:r>
      <w:r>
        <w:rPr>
          <w:rFonts w:ascii="宋体" w:eastAsia="宋体" w:hAnsi="宋体" w:cs="宋体" w:hint="eastAsia"/>
          <w:szCs w:val="21"/>
        </w:rPr>
        <w:t xml:space="preserve"> </w:t>
      </w:r>
    </w:p>
    <w:p w:rsidR="0082679C" w:rsidRDefault="00B435E0">
      <w:pPr>
        <w:pStyle w:val="4"/>
        <w:spacing w:line="300" w:lineRule="auto"/>
        <w:rPr>
          <w:rFonts w:ascii="宋体" w:hAnsi="宋体" w:cs="宋体"/>
        </w:rPr>
      </w:pPr>
      <w:bookmarkStart w:id="20" w:name="_Toc521346546"/>
      <w:r>
        <w:rPr>
          <w:rFonts w:ascii="宋体" w:hAnsi="宋体" w:cs="宋体" w:hint="eastAsia"/>
        </w:rPr>
        <w:t>2. 单个企业商标品牌价值稳定增长</w:t>
      </w:r>
      <w:bookmarkEnd w:id="20"/>
    </w:p>
    <w:p w:rsidR="0082679C" w:rsidRDefault="00B435E0">
      <w:pPr>
        <w:pStyle w:val="afd"/>
        <w:spacing w:line="300" w:lineRule="auto"/>
        <w:ind w:firstLine="480"/>
        <w:rPr>
          <w:rFonts w:ascii="宋体" w:eastAsia="宋体" w:hAnsi="宋体" w:cs="宋体"/>
          <w:sz w:val="24"/>
          <w:szCs w:val="24"/>
        </w:rPr>
      </w:pPr>
      <w:r>
        <w:rPr>
          <w:rFonts w:ascii="宋体" w:eastAsia="宋体" w:hAnsi="宋体" w:cs="宋体" w:hint="eastAsia"/>
          <w:sz w:val="24"/>
          <w:szCs w:val="24"/>
        </w:rPr>
        <w:t>商标品牌价值同比正增长的企业占64%，其中26个企业的商标品牌价值增长幅度超20%。</w:t>
      </w:r>
    </w:p>
    <w:p w:rsidR="0082679C" w:rsidRDefault="00B435E0">
      <w:pPr>
        <w:spacing w:line="300" w:lineRule="auto"/>
        <w:ind w:left="360" w:firstLine="420"/>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3090545" cy="2409825"/>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2679C" w:rsidRDefault="00B435E0">
      <w:pPr>
        <w:pStyle w:val="4"/>
        <w:spacing w:line="300" w:lineRule="auto"/>
        <w:rPr>
          <w:rFonts w:ascii="宋体" w:hAnsi="宋体" w:cs="宋体"/>
        </w:rPr>
      </w:pPr>
      <w:bookmarkStart w:id="21" w:name="_Toc521346547"/>
      <w:r>
        <w:rPr>
          <w:rFonts w:ascii="宋体" w:hAnsi="宋体" w:cs="宋体" w:hint="eastAsia"/>
        </w:rPr>
        <w:t>3. 食品、银行等行业商标品牌价值增长迅速</w:t>
      </w:r>
      <w:bookmarkEnd w:id="21"/>
    </w:p>
    <w:p w:rsidR="0082679C" w:rsidRDefault="00B435E0">
      <w:pPr>
        <w:pStyle w:val="afd"/>
        <w:spacing w:line="300" w:lineRule="auto"/>
        <w:ind w:firstLine="480"/>
        <w:rPr>
          <w:rFonts w:ascii="宋体" w:eastAsia="宋体" w:hAnsi="宋体" w:cs="宋体"/>
          <w:sz w:val="24"/>
          <w:szCs w:val="24"/>
        </w:rPr>
      </w:pPr>
      <w:r>
        <w:rPr>
          <w:rFonts w:ascii="宋体" w:eastAsia="宋体" w:hAnsi="宋体" w:cs="宋体" w:hint="eastAsia"/>
          <w:sz w:val="24"/>
          <w:szCs w:val="24"/>
        </w:rPr>
        <w:t>在26个价值明显增长的商标品牌中，13家是制造业企业、8家是金融业企业。其中4家制造业企业主营食品、奶制品、酒类，而8家金融业上榜企业有7家为银行。</w:t>
      </w:r>
    </w:p>
    <w:p w:rsidR="0082679C" w:rsidRDefault="00B435E0">
      <w:pPr>
        <w:spacing w:line="300" w:lineRule="auto"/>
        <w:jc w:val="center"/>
        <w:rPr>
          <w:rFonts w:ascii="宋体" w:eastAsia="宋体" w:hAnsi="宋体" w:cs="宋体"/>
          <w:b/>
          <w:szCs w:val="21"/>
        </w:rPr>
      </w:pPr>
      <w:r>
        <w:rPr>
          <w:rFonts w:ascii="宋体" w:eastAsia="宋体" w:hAnsi="宋体" w:cs="宋体" w:hint="eastAsia"/>
          <w:b/>
          <w:szCs w:val="21"/>
        </w:rPr>
        <w:t>表2  商标品牌价值快速增长的制造业企业</w:t>
      </w:r>
    </w:p>
    <w:tbl>
      <w:tblPr>
        <w:tblW w:w="8296" w:type="dxa"/>
        <w:tblLayout w:type="fixed"/>
        <w:tblLook w:val="04A0" w:firstRow="1" w:lastRow="0" w:firstColumn="1" w:lastColumn="0" w:noHBand="0" w:noVBand="1"/>
      </w:tblPr>
      <w:tblGrid>
        <w:gridCol w:w="931"/>
        <w:gridCol w:w="1339"/>
        <w:gridCol w:w="3083"/>
        <w:gridCol w:w="1589"/>
        <w:gridCol w:w="1354"/>
      </w:tblGrid>
      <w:tr w:rsidR="0082679C">
        <w:trPr>
          <w:trHeight w:val="678"/>
        </w:trPr>
        <w:tc>
          <w:tcPr>
            <w:tcW w:w="9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排名</w:t>
            </w:r>
          </w:p>
        </w:tc>
        <w:tc>
          <w:tcPr>
            <w:tcW w:w="4422"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color w:val="000000"/>
                <w:kern w:val="0"/>
                <w:szCs w:val="21"/>
              </w:rPr>
              <w:t>上市公司简称</w:t>
            </w:r>
          </w:p>
        </w:tc>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商标品牌价值</w:t>
            </w:r>
          </w:p>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（亿元）</w:t>
            </w:r>
          </w:p>
        </w:tc>
        <w:tc>
          <w:tcPr>
            <w:tcW w:w="13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商标品牌价值同比增速</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szCs w:val="21"/>
              </w:rPr>
            </w:pPr>
            <w:r>
              <w:rPr>
                <w:rFonts w:ascii="宋体" w:eastAsia="宋体" w:hAnsi="宋体" w:cs="宋体" w:hint="eastAsia"/>
                <w:color w:val="000000"/>
                <w:szCs w:val="21"/>
              </w:rPr>
              <w:t>6</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上汽集团</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914400" cy="359410"/>
                  <wp:effectExtent l="0" t="0" r="0" b="2540"/>
                  <wp:docPr id="115" name="图片 115" descr="C:\DOCUME~1\ADMINI~1\LOCALS~1\Temp\WeChat Files\330821310466596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DOCUME~1\ADMINI~1\LOCALS~1\Temp\WeChat Files\330821310466596424.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14400" cy="360000"/>
                          </a:xfrm>
                          <a:prstGeom prst="rect">
                            <a:avLst/>
                          </a:prstGeom>
                          <a:noFill/>
                          <a:ln>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szCs w:val="21"/>
              </w:rPr>
            </w:pPr>
            <w:r>
              <w:rPr>
                <w:rFonts w:ascii="宋体" w:eastAsia="宋体" w:hAnsi="宋体" w:cs="宋体" w:hint="eastAsia"/>
                <w:color w:val="000000"/>
                <w:szCs w:val="21"/>
              </w:rPr>
              <w:t>1130.75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szCs w:val="21"/>
              </w:rPr>
            </w:pPr>
            <w:r>
              <w:rPr>
                <w:rFonts w:ascii="宋体" w:eastAsia="宋体" w:hAnsi="宋体" w:cs="宋体" w:hint="eastAsia"/>
                <w:color w:val="000000"/>
                <w:szCs w:val="21"/>
              </w:rPr>
              <w:t>23.07%</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13</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贵州茅台</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421005" cy="359410"/>
                  <wp:effectExtent l="0" t="0" r="0" b="254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2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573.43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21.56%</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15</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广汽集团</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335405" cy="359410"/>
                  <wp:effectExtent l="0" t="0" r="0" b="254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5600" cy="360000"/>
                          </a:xfrm>
                          <a:prstGeom prst="rect">
                            <a:avLst/>
                          </a:prstGeom>
                          <a:noFill/>
                          <a:ln w="9525">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539.35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24.14%</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17</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美的集团</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04900" cy="359410"/>
                  <wp:effectExtent l="0" t="0" r="0" b="25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05200" cy="360000"/>
                          </a:xfrm>
                          <a:prstGeom prst="rect">
                            <a:avLst/>
                          </a:prstGeom>
                          <a:noFill/>
                          <a:ln w="9525">
                            <a:noFill/>
                            <a:miter lim="800000"/>
                            <a:headEnd/>
                            <a:tailEnd/>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504.90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20.58%</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19</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青岛海尔</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827405" cy="359410"/>
                  <wp:effectExtent l="0" t="0" r="0" b="254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0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473.37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49.30%</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20</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海康威视</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799590" cy="359410"/>
                  <wp:effectExtent l="0" t="0" r="0" b="2540"/>
                  <wp:docPr id="120"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360000"/>
                          </a:xfrm>
                          <a:prstGeom prst="rect">
                            <a:avLst/>
                          </a:prstGeom>
                          <a:noFill/>
                          <a:ln w="9525">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468.18</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29.06%</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24</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长城汽车</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378585" cy="359410"/>
                  <wp:effectExtent l="0" t="0" r="0" b="25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88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386.34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55.14%</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25</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伊利股份</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467995" cy="359410"/>
                  <wp:effectExtent l="0" t="0" r="8255" b="25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375.60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28.26%</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47</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五粮液</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475740" cy="359410"/>
                  <wp:effectExtent l="0" t="0" r="0" b="25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76000" cy="360000"/>
                          </a:xfrm>
                          <a:prstGeom prst="rect">
                            <a:avLst/>
                          </a:prstGeom>
                          <a:noFill/>
                          <a:ln w="9525">
                            <a:noFill/>
                            <a:miter lim="800000"/>
                            <a:headEnd/>
                            <a:tailEnd/>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265.54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40.57%</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57</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双汇发展</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717040" cy="359410"/>
                  <wp:effectExtent l="0" t="0" r="0" b="25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172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215.21</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23.18%</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66</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万华化学</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698625" cy="359410"/>
                  <wp:effectExtent l="0" t="0" r="0" b="25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992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194.99</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38.79%</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83</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康得新</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040130" cy="359410"/>
                  <wp:effectExtent l="0" t="0" r="7620" b="25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40400" cy="360000"/>
                          </a:xfrm>
                          <a:prstGeom prst="rect">
                            <a:avLst/>
                          </a:prstGeom>
                          <a:noFill/>
                          <a:ln w="9525">
                            <a:noFill/>
                          </a:ln>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142.05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36.77%</w:t>
            </w:r>
          </w:p>
        </w:tc>
      </w:tr>
      <w:tr w:rsidR="0082679C">
        <w:trPr>
          <w:trHeight w:val="278"/>
        </w:trPr>
        <w:tc>
          <w:tcPr>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96</w:t>
            </w:r>
          </w:p>
        </w:tc>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东阿阿胶</w:t>
            </w:r>
          </w:p>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298450" cy="359410"/>
                  <wp:effectExtent l="0" t="0" r="6350" b="254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98800" cy="360000"/>
                          </a:xfrm>
                          <a:prstGeom prst="rect">
                            <a:avLst/>
                          </a:prstGeom>
                        </pic:spPr>
                      </pic:pic>
                    </a:graphicData>
                  </a:graphic>
                </wp:inline>
              </w:drawing>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119.72</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spacing w:line="300" w:lineRule="auto"/>
              <w:jc w:val="center"/>
              <w:rPr>
                <w:rFonts w:ascii="宋体" w:eastAsia="宋体" w:hAnsi="宋体" w:cs="宋体"/>
                <w:color w:val="000000"/>
                <w:szCs w:val="21"/>
              </w:rPr>
            </w:pPr>
            <w:r>
              <w:rPr>
                <w:rFonts w:ascii="宋体" w:eastAsia="宋体" w:hAnsi="宋体" w:cs="宋体" w:hint="eastAsia"/>
                <w:color w:val="000000"/>
                <w:szCs w:val="21"/>
              </w:rPr>
              <w:t>31.64%</w:t>
            </w:r>
          </w:p>
        </w:tc>
      </w:tr>
    </w:tbl>
    <w:p w:rsidR="0082679C" w:rsidRDefault="0082679C">
      <w:pPr>
        <w:spacing w:line="300" w:lineRule="auto"/>
        <w:jc w:val="center"/>
        <w:rPr>
          <w:rFonts w:ascii="宋体" w:eastAsia="宋体" w:hAnsi="宋体" w:cs="宋体"/>
          <w:szCs w:val="21"/>
        </w:rPr>
      </w:pPr>
    </w:p>
    <w:p w:rsidR="0082679C" w:rsidRDefault="00B435E0">
      <w:pPr>
        <w:spacing w:line="300" w:lineRule="auto"/>
        <w:jc w:val="center"/>
        <w:rPr>
          <w:rFonts w:ascii="宋体" w:eastAsia="宋体" w:hAnsi="宋体" w:cs="宋体"/>
          <w:b/>
          <w:szCs w:val="21"/>
        </w:rPr>
      </w:pPr>
      <w:r>
        <w:rPr>
          <w:rFonts w:ascii="宋体" w:eastAsia="宋体" w:hAnsi="宋体" w:cs="宋体" w:hint="eastAsia"/>
          <w:b/>
          <w:szCs w:val="21"/>
        </w:rPr>
        <w:t>表3  商标品牌价值快速增长的金融业企业</w:t>
      </w:r>
    </w:p>
    <w:tbl>
      <w:tblPr>
        <w:tblW w:w="8296" w:type="dxa"/>
        <w:jc w:val="center"/>
        <w:tblLayout w:type="fixed"/>
        <w:tblLook w:val="04A0" w:firstRow="1" w:lastRow="0" w:firstColumn="1" w:lastColumn="0" w:noHBand="0" w:noVBand="1"/>
      </w:tblPr>
      <w:tblGrid>
        <w:gridCol w:w="884"/>
        <w:gridCol w:w="1382"/>
        <w:gridCol w:w="3116"/>
        <w:gridCol w:w="1560"/>
        <w:gridCol w:w="1354"/>
      </w:tblGrid>
      <w:tr w:rsidR="0082679C">
        <w:trPr>
          <w:trHeight w:val="729"/>
          <w:jc w:val="center"/>
        </w:trPr>
        <w:tc>
          <w:tcPr>
            <w:tcW w:w="88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排名</w:t>
            </w:r>
          </w:p>
        </w:tc>
        <w:tc>
          <w:tcPr>
            <w:tcW w:w="4498"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color w:val="000000"/>
                <w:kern w:val="0"/>
                <w:szCs w:val="21"/>
              </w:rPr>
              <w:t>上市公司简称</w:t>
            </w:r>
          </w:p>
        </w:tc>
        <w:tc>
          <w:tcPr>
            <w:tcW w:w="15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商标品牌价值</w:t>
            </w:r>
          </w:p>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（亿元）</w:t>
            </w:r>
          </w:p>
        </w:tc>
        <w:tc>
          <w:tcPr>
            <w:tcW w:w="13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商标品牌价值同比增速</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招商银行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noProof/>
                <w:szCs w:val="21"/>
              </w:rPr>
              <w:drawing>
                <wp:inline distT="0" distB="0" distL="0" distR="0">
                  <wp:extent cx="1316990" cy="359410"/>
                  <wp:effectExtent l="0" t="0" r="0" b="2540"/>
                  <wp:docPr id="2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17600" cy="360000"/>
                          </a:xfrm>
                          <a:prstGeom prst="rect">
                            <a:avLst/>
                          </a:prstGeom>
                          <a:noFill/>
                          <a:ln w="1">
                            <a:noFill/>
                            <a:miter lim="800000"/>
                            <a:headEnd/>
                            <a:tailEnd type="none" w="med" len="med"/>
                          </a:ln>
                          <a:effectLst/>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569.50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28.90%</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32</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浦发银行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noProof/>
                <w:szCs w:val="21"/>
              </w:rPr>
              <w:drawing>
                <wp:inline distT="0" distB="0" distL="0" distR="0">
                  <wp:extent cx="1087120" cy="359410"/>
                  <wp:effectExtent l="0" t="0" r="0" b="2540"/>
                  <wp:docPr id="204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 name="图片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72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303.20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71.60%</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40</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民生银行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501140" cy="359410"/>
                  <wp:effectExtent l="0" t="0" r="3810" b="2540"/>
                  <wp:docPr id="20480" name="图片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图片 2048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12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284.42</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76.39%</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48</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中国太保</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910590" cy="359410"/>
                  <wp:effectExtent l="0" t="0" r="3810" b="2540"/>
                  <wp:docPr id="20481" name="图片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图片 2048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08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260.03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36.67%</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兴业银行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299210" cy="359410"/>
                  <wp:effectExtent l="0" t="0" r="0" b="2540"/>
                  <wp:docPr id="20482" name="图片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图片 2048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996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223.58</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33.05%</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74</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光大银行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760220" cy="359410"/>
                  <wp:effectExtent l="0" t="0" r="0" b="2540"/>
                  <wp:docPr id="20483" name="图片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图片 2048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604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162.60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20.97%</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平安银行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878205" cy="359410"/>
                  <wp:effectExtent l="0" t="0" r="0" b="2540"/>
                  <wp:docPr id="20484" name="图片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图片 20484"/>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784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155.56</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22.57%</w:t>
            </w:r>
          </w:p>
        </w:tc>
      </w:tr>
      <w:tr w:rsidR="0082679C">
        <w:trPr>
          <w:trHeight w:val="278"/>
          <w:jc w:val="center"/>
        </w:trPr>
        <w:tc>
          <w:tcPr>
            <w:tcW w:w="8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82</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华夏银行</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202055" cy="359410"/>
                  <wp:effectExtent l="0" t="0" r="0" b="2540"/>
                  <wp:docPr id="20485" name="图片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图片 20485"/>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02400" cy="360000"/>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145.38</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21.93%</w:t>
            </w:r>
          </w:p>
        </w:tc>
      </w:tr>
    </w:tbl>
    <w:p w:rsidR="0082679C" w:rsidRDefault="00B435E0">
      <w:pPr>
        <w:spacing w:line="300" w:lineRule="auto"/>
        <w:ind w:firstLineChars="200" w:firstLine="480"/>
        <w:rPr>
          <w:rFonts w:ascii="宋体" w:eastAsia="宋体" w:hAnsi="宋体" w:cs="宋体"/>
          <w:szCs w:val="21"/>
        </w:rPr>
      </w:pPr>
      <w:r>
        <w:rPr>
          <w:rFonts w:ascii="宋体" w:eastAsia="宋体" w:hAnsi="宋体" w:cs="宋体" w:hint="eastAsia"/>
          <w:sz w:val="24"/>
          <w:szCs w:val="24"/>
        </w:rPr>
        <w:t>随着金融、制造企业的商标品牌价值上升，相应商标品牌价值排名序位同步上升。而批发和零售业、房地产业则受到宏观调控与供给侧改革影响，行业经营风险增大，部分企业品牌价值有所下降。</w:t>
      </w:r>
    </w:p>
    <w:p w:rsidR="0082679C" w:rsidRDefault="00B435E0">
      <w:pPr>
        <w:pStyle w:val="4"/>
        <w:spacing w:line="300" w:lineRule="auto"/>
        <w:rPr>
          <w:rFonts w:ascii="宋体" w:hAnsi="宋体" w:cs="宋体"/>
        </w:rPr>
      </w:pPr>
      <w:bookmarkStart w:id="22" w:name="_Toc521346548"/>
      <w:r>
        <w:rPr>
          <w:rFonts w:ascii="宋体" w:hAnsi="宋体" w:cs="宋体" w:hint="eastAsia"/>
        </w:rPr>
        <w:t xml:space="preserve">4. </w:t>
      </w:r>
      <w:bookmarkEnd w:id="22"/>
      <w:r>
        <w:rPr>
          <w:rFonts w:ascii="宋体" w:hAnsi="宋体" w:cs="宋体" w:hint="eastAsia"/>
        </w:rPr>
        <w:t>新上榜企业中金融业最多</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18家新上榜企业中，有5个金融业企业且全部为券商。有3个交通运输行业企业且都分布在华东地区（上海、江苏）。</w:t>
      </w:r>
    </w:p>
    <w:p w:rsidR="0082679C" w:rsidRDefault="00B435E0">
      <w:pPr>
        <w:spacing w:line="300" w:lineRule="auto"/>
        <w:ind w:left="360" w:firstLine="420"/>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3183255" cy="2357120"/>
            <wp:effectExtent l="0" t="0" r="0" b="508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18家新上榜企业均分布在东部地区，并集中于京津冀地区、长三角地区、珠三角地区。</w:t>
      </w:r>
    </w:p>
    <w:p w:rsidR="0082679C" w:rsidRDefault="00B435E0">
      <w:pPr>
        <w:pStyle w:val="afd"/>
        <w:spacing w:line="300" w:lineRule="auto"/>
        <w:ind w:left="480" w:firstLineChars="0" w:firstLine="360"/>
        <w:jc w:val="center"/>
        <w:rPr>
          <w:rFonts w:ascii="宋体" w:eastAsia="宋体" w:hAnsi="宋体" w:cs="宋体"/>
          <w:szCs w:val="21"/>
        </w:rPr>
      </w:pPr>
      <w:r>
        <w:rPr>
          <w:rFonts w:ascii="宋体" w:eastAsia="宋体" w:hAnsi="宋体" w:cs="宋体" w:hint="eastAsia"/>
          <w:noProof/>
          <w:szCs w:val="21"/>
        </w:rPr>
        <w:drawing>
          <wp:inline distT="0" distB="0" distL="0" distR="0">
            <wp:extent cx="3021965" cy="217678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4"/>
                    <a:stretch>
                      <a:fillRect/>
                    </a:stretch>
                  </pic:blipFill>
                  <pic:spPr>
                    <a:xfrm>
                      <a:off x="0" y="0"/>
                      <a:ext cx="3058784" cy="2202943"/>
                    </a:xfrm>
                    <a:prstGeom prst="rect">
                      <a:avLst/>
                    </a:prstGeom>
                  </pic:spPr>
                </pic:pic>
              </a:graphicData>
            </a:graphic>
          </wp:inline>
        </w:drawing>
      </w:r>
    </w:p>
    <w:p w:rsidR="0082679C" w:rsidRDefault="00B435E0">
      <w:pPr>
        <w:pStyle w:val="afd"/>
        <w:spacing w:line="300" w:lineRule="auto"/>
        <w:ind w:left="480" w:firstLineChars="0" w:firstLine="360"/>
        <w:jc w:val="center"/>
        <w:rPr>
          <w:rFonts w:ascii="宋体" w:eastAsia="宋体" w:hAnsi="宋体" w:cs="宋体"/>
          <w:b/>
          <w:szCs w:val="21"/>
        </w:rPr>
      </w:pPr>
      <w:r>
        <w:rPr>
          <w:rFonts w:ascii="宋体" w:eastAsia="宋体" w:hAnsi="宋体" w:cs="宋体" w:hint="eastAsia"/>
          <w:b/>
          <w:szCs w:val="21"/>
        </w:rPr>
        <w:t>图15  新上榜企业的地域分布</w:t>
      </w:r>
    </w:p>
    <w:p w:rsidR="0082679C" w:rsidRDefault="0082679C">
      <w:pPr>
        <w:spacing w:line="300" w:lineRule="auto"/>
        <w:rPr>
          <w:rFonts w:ascii="宋体" w:eastAsia="宋体" w:hAnsi="宋体" w:cs="宋体"/>
          <w:b/>
          <w:color w:val="FF0000"/>
          <w:szCs w:val="21"/>
        </w:rPr>
      </w:pPr>
    </w:p>
    <w:p w:rsidR="0082679C" w:rsidRDefault="00B435E0">
      <w:pPr>
        <w:pStyle w:val="3"/>
        <w:spacing w:line="300" w:lineRule="auto"/>
        <w:rPr>
          <w:rFonts w:ascii="宋体" w:hAnsi="宋体" w:cs="宋体"/>
          <w:sz w:val="28"/>
          <w:szCs w:val="28"/>
        </w:rPr>
      </w:pPr>
      <w:bookmarkStart w:id="23" w:name="_Toc521346549"/>
      <w:bookmarkStart w:id="24" w:name="_Toc521338489"/>
      <w:r>
        <w:rPr>
          <w:rFonts w:ascii="宋体" w:hAnsi="宋体" w:cs="宋体" w:hint="eastAsia"/>
          <w:sz w:val="28"/>
          <w:szCs w:val="28"/>
        </w:rPr>
        <w:t>（三）新秀聚焦</w:t>
      </w:r>
      <w:bookmarkEnd w:id="23"/>
      <w:bookmarkEnd w:id="24"/>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2016年中国经济保持了平稳发展趋势，城乡居民人均可支配收入及消费能力稳步提升，供给侧结构性改革有力有序地推进，产业结构不断优化，消费结构升级。伴随着我国宏观经济趋稳态势，经济运行保持在合理区间，结构调整不断深化，消费与服务业对经济增长的贡献持续提升，新旧动能转换加快，各行各业在面临结构调整、增效提质的挑战中抓住了机遇。2017年18个商标品牌新进入榜单，金融和制造业等皆有企业崭露头角、表现亮眼。</w:t>
      </w:r>
    </w:p>
    <w:p w:rsidR="0082679C" w:rsidRDefault="00B435E0">
      <w:pPr>
        <w:spacing w:line="300" w:lineRule="auto"/>
        <w:jc w:val="center"/>
        <w:rPr>
          <w:rFonts w:ascii="宋体" w:eastAsia="宋体" w:hAnsi="宋体" w:cs="宋体"/>
          <w:b/>
          <w:szCs w:val="21"/>
        </w:rPr>
      </w:pPr>
      <w:r>
        <w:rPr>
          <w:rFonts w:ascii="宋体" w:eastAsia="宋体" w:hAnsi="宋体" w:cs="宋体" w:hint="eastAsia"/>
          <w:b/>
          <w:szCs w:val="21"/>
        </w:rPr>
        <w:t>表4  新上榜商标品牌一览</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29"/>
        <w:gridCol w:w="2616"/>
        <w:gridCol w:w="2566"/>
        <w:gridCol w:w="1281"/>
      </w:tblGrid>
      <w:tr w:rsidR="0082679C">
        <w:trPr>
          <w:trHeight w:val="477"/>
        </w:trPr>
        <w:tc>
          <w:tcPr>
            <w:tcW w:w="704" w:type="dxa"/>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排名</w:t>
            </w:r>
          </w:p>
        </w:tc>
        <w:tc>
          <w:tcPr>
            <w:tcW w:w="3745" w:type="dxa"/>
            <w:gridSpan w:val="2"/>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color w:val="000000"/>
                <w:kern w:val="0"/>
                <w:szCs w:val="21"/>
              </w:rPr>
              <w:t>上市公司简称</w:t>
            </w:r>
          </w:p>
        </w:tc>
        <w:tc>
          <w:tcPr>
            <w:tcW w:w="2566" w:type="dxa"/>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所属行业</w:t>
            </w:r>
          </w:p>
        </w:tc>
        <w:tc>
          <w:tcPr>
            <w:tcW w:w="1281" w:type="dxa"/>
            <w:shd w:val="clear" w:color="auto" w:fill="B4C6E7" w:themeFill="accent1" w:themeFillTint="66"/>
            <w:vAlign w:val="center"/>
          </w:tcPr>
          <w:p w:rsidR="0082679C" w:rsidRDefault="00B435E0">
            <w:pPr>
              <w:widowControl/>
              <w:spacing w:line="300" w:lineRule="auto"/>
              <w:jc w:val="center"/>
              <w:rPr>
                <w:rFonts w:ascii="宋体" w:eastAsia="宋体" w:hAnsi="宋体" w:cs="宋体"/>
                <w:b/>
                <w:bCs/>
                <w:kern w:val="0"/>
                <w:szCs w:val="21"/>
              </w:rPr>
            </w:pPr>
            <w:r>
              <w:rPr>
                <w:rFonts w:ascii="宋体" w:eastAsia="宋体" w:hAnsi="宋体" w:cs="宋体" w:hint="eastAsia"/>
                <w:b/>
                <w:bCs/>
                <w:kern w:val="0"/>
                <w:szCs w:val="21"/>
              </w:rPr>
              <w:t>商标品牌价值（亿元）</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22</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中国核电</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396365" cy="359410"/>
                  <wp:effectExtent l="0" t="0" r="0" b="2540"/>
                  <wp:docPr id="20486" name="图片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图片 204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96800" cy="360000"/>
                          </a:xfrm>
                          <a:prstGeom prst="rect">
                            <a:avLst/>
                          </a:prstGeom>
                          <a:noFill/>
                          <a:ln w="1">
                            <a:noFill/>
                            <a:miter lim="800000"/>
                            <a:headEnd/>
                            <a:tailEnd type="none" w="med" len="med"/>
                          </a:ln>
                          <a:effectLst/>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电力、热力、燃气及水生产和供应业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435.30</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72</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华夏幸福</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91260" cy="359410"/>
                  <wp:effectExtent l="0" t="0" r="0" b="2540"/>
                  <wp:docPr id="20487" name="图片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图片 2048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16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房地产业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173.47</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上港集团</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447165" cy="359410"/>
                  <wp:effectExtent l="0" t="0" r="635" b="2540"/>
                  <wp:docPr id="20488" name="图片 20488" descr="C:\Users\ADMINI~1\AppData\Local\Temp\WeChat Files\81113338388204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图片 20488" descr="C:\Users\ADMINI~1\AppData\Local\Temp\WeChat Files\811133383882046356.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472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交通运输、仓储和邮政业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348.36</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61</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上海机场</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856615" cy="359410"/>
                  <wp:effectExtent l="0" t="0" r="635" b="2540"/>
                  <wp:docPr id="20489" name="图片 20489" descr="C:\Users\ADMINI~1\AppData\Local\Temp\WeChat Files\25605594720080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图片 20489" descr="C:\Users\ADMINI~1\AppData\Local\Temp\WeChat Files\256055947200808795.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8568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交通运输、仓储和邮政业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207.24</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88</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宁沪高速</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417195" cy="359410"/>
                  <wp:effectExtent l="0" t="0" r="1905" b="2540"/>
                  <wp:docPr id="20490" name="图片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 name="图片 20490"/>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76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交通运输、仓储和邮政业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133.59</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中信证券</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993140" cy="359410"/>
                  <wp:effectExtent l="0" t="0" r="0" b="2540"/>
                  <wp:docPr id="20491" name="图片 20491" descr="C:\Users\ADMINI~1\AppData\Local\Temp\WeChat Files\60181648199260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图片 20491" descr="C:\Users\ADMINI~1\AppData\Local\Temp\WeChat Files\601816481992609537.jpg"/>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9936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金融业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302.46</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55</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海通证券</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524000" cy="381000"/>
                  <wp:effectExtent l="0" t="0" r="0" b="0"/>
                  <wp:docPr id="20492" name="图片 20492"/>
                  <wp:cNvGraphicFramePr/>
                  <a:graphic xmlns:a="http://schemas.openxmlformats.org/drawingml/2006/main">
                    <a:graphicData uri="http://schemas.openxmlformats.org/drawingml/2006/picture">
                      <pic:pic xmlns:pic="http://schemas.openxmlformats.org/drawingml/2006/picture">
                        <pic:nvPicPr>
                          <pic:cNvPr id="20492" name="图片 2049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3365" cy="381000"/>
                          </a:xfrm>
                          <a:prstGeom prst="rect">
                            <a:avLst/>
                          </a:prstGeom>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金融业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220.01</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79</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广发证券</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41095" cy="359410"/>
                  <wp:effectExtent l="0" t="0" r="1905" b="2540"/>
                  <wp:docPr id="20493" name="图片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图片 20493"/>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41200" cy="360000"/>
                          </a:xfrm>
                          <a:prstGeom prst="rect">
                            <a:avLst/>
                          </a:prstGeom>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金融业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150.01</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89</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华泰证券</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759460" cy="359410"/>
                  <wp:effectExtent l="0" t="0" r="2540" b="2540"/>
                  <wp:docPr id="20495" name="图片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 name="图片 20495"/>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9600" cy="360000"/>
                          </a:xfrm>
                          <a:prstGeom prst="rect">
                            <a:avLst/>
                          </a:prstGeom>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金融业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126.45</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90</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招商证券</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303020" cy="359410"/>
                  <wp:effectExtent l="0" t="0" r="0" b="2540"/>
                  <wp:docPr id="20497" name="图片 20497" descr="C:\Users\ADMINI~1\AppData\Local\Temp\WeChat Files\33420081468839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 name="图片 20497" descr="C:\Users\ADMINI~1\AppData\Local\Temp\WeChat Files\334200814688395406.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3032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金融业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124.50</w:t>
            </w:r>
          </w:p>
        </w:tc>
      </w:tr>
      <w:tr w:rsidR="0082679C">
        <w:trPr>
          <w:trHeight w:val="667"/>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华侨城A</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62685" cy="359410"/>
                  <wp:effectExtent l="0" t="0" r="0" b="2540"/>
                  <wp:docPr id="20498" name="图片 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 name="图片 2049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28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水利、环境和公共设施管理业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427.15</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78</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中国电影</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01090" cy="359410"/>
                  <wp:effectExtent l="0" t="0" r="3810" b="2540"/>
                  <wp:docPr id="20499" name="图片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 name="图片 2049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1016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文化、体育和娱乐业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153.30</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62</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完美世界</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734060" cy="359410"/>
                  <wp:effectExtent l="0" t="0" r="0" b="2540"/>
                  <wp:docPr id="20501" name="图片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 name="图片 2050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344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信息传输、软件和信息技术服务业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206.85</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77</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三七互娱</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310005" cy="359410"/>
                  <wp:effectExtent l="0" t="0" r="4445" b="2540"/>
                  <wp:docPr id="20502" name="图片 20502" descr="C:\Users\ADMINI~1\AppData\Local\Temp\WeChat Files\5199729811892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 name="图片 20502" descr="C:\Users\ADMINI~1\AppData\Local\Temp\WeChat Files\519972981189215239.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3104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信息传输、软件和信息技术服务业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153.52</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38</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森马服饰</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1151890" cy="359410"/>
                  <wp:effectExtent l="0" t="0" r="0" b="2540"/>
                  <wp:docPr id="20503" name="图片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 name="图片 2050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20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制造业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289.70</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大华股份</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996950" cy="359410"/>
                  <wp:effectExtent l="0" t="0" r="0" b="2540"/>
                  <wp:docPr id="20504" name="图片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图片 20504"/>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97200" cy="360000"/>
                          </a:xfrm>
                          <a:prstGeom prst="rect">
                            <a:avLst/>
                          </a:prstGeom>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制造业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161.10</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97</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TCL集团</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586740" cy="359410"/>
                  <wp:effectExtent l="0" t="0" r="3810" b="2540"/>
                  <wp:docPr id="20506" name="图片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 name="图片 20506"/>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86800" cy="360000"/>
                          </a:xfrm>
                          <a:prstGeom prst="rect">
                            <a:avLst/>
                          </a:prstGeom>
                          <a:noFill/>
                          <a:ln w="9525">
                            <a:noFill/>
                            <a:miter lim="800000"/>
                            <a:headEnd/>
                            <a:tailEnd/>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制造业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118.62</w:t>
            </w:r>
          </w:p>
        </w:tc>
      </w:tr>
      <w:tr w:rsidR="0082679C">
        <w:trPr>
          <w:trHeight w:val="278"/>
        </w:trPr>
        <w:tc>
          <w:tcPr>
            <w:tcW w:w="704"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91</w:t>
            </w:r>
          </w:p>
        </w:tc>
        <w:tc>
          <w:tcPr>
            <w:tcW w:w="1129"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蓝色光标</w:t>
            </w:r>
          </w:p>
        </w:tc>
        <w:tc>
          <w:tcPr>
            <w:tcW w:w="261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Theme="minorEastAsia" w:hAnsiTheme="minorEastAsia" w:cs="宋体" w:hint="eastAsia"/>
                <w:noProof/>
                <w:color w:val="000000"/>
                <w:kern w:val="0"/>
                <w:szCs w:val="21"/>
              </w:rPr>
              <w:drawing>
                <wp:inline distT="0" distB="0" distL="0" distR="0">
                  <wp:extent cx="859790" cy="359410"/>
                  <wp:effectExtent l="0" t="0" r="0" b="2540"/>
                  <wp:docPr id="20505" name="图片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 name="图片 20505"/>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0400" cy="360000"/>
                          </a:xfrm>
                          <a:prstGeom prst="rect">
                            <a:avLst/>
                          </a:prstGeom>
                          <a:noFill/>
                          <a:ln w="9525">
                            <a:noFill/>
                          </a:ln>
                        </pic:spPr>
                      </pic:pic>
                    </a:graphicData>
                  </a:graphic>
                </wp:inline>
              </w:drawing>
            </w:r>
          </w:p>
        </w:tc>
        <w:tc>
          <w:tcPr>
            <w:tcW w:w="2566"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租赁和商务服务业</w:t>
            </w:r>
          </w:p>
        </w:tc>
        <w:tc>
          <w:tcPr>
            <w:tcW w:w="1281" w:type="dxa"/>
            <w:shd w:val="clear" w:color="auto" w:fill="FFFFFF" w:themeFill="background1"/>
            <w:vAlign w:val="center"/>
          </w:tcPr>
          <w:p w:rsidR="0082679C" w:rsidRDefault="00B435E0">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124.20</w:t>
            </w:r>
          </w:p>
        </w:tc>
      </w:tr>
    </w:tbl>
    <w:p w:rsidR="0082679C" w:rsidRDefault="00B435E0">
      <w:pPr>
        <w:pStyle w:val="4"/>
        <w:rPr>
          <w:rFonts w:ascii="宋体" w:hAnsi="宋体" w:cs="宋体"/>
        </w:rPr>
      </w:pPr>
      <w:bookmarkStart w:id="25" w:name="_Toc521346550"/>
      <w:r>
        <w:rPr>
          <w:rFonts w:ascii="宋体" w:hAnsi="宋体" w:cs="宋体" w:hint="eastAsia"/>
        </w:rPr>
        <w:t xml:space="preserve">1. </w:t>
      </w:r>
      <w:bookmarkEnd w:id="25"/>
      <w:r>
        <w:rPr>
          <w:rFonts w:ascii="宋体" w:hAnsi="宋体" w:cs="宋体" w:hint="eastAsia"/>
        </w:rPr>
        <w:t>宏观调控与产业政策引领行业发展</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2017年总榜百强中全行业有9个行业有新进企业，其中以金融业新进企业数量最多，是国家金融政策有效指引下，理顺市场秩序与重铸市场信心的结果。</w:t>
      </w:r>
      <w:r>
        <w:rPr>
          <w:rFonts w:ascii="宋体" w:eastAsia="宋体" w:hAnsi="宋体" w:cs="宋体" w:hint="eastAsia"/>
          <w:sz w:val="24"/>
          <w:szCs w:val="24"/>
        </w:rPr>
        <w:lastRenderedPageBreak/>
        <w:t>2016年，在世界经济复苏依然缓慢且不均衡、黑天鹅事件频出的背景下，我国坚持稳增长、调结构、惠民生、防风险，主动适应和引领新常态，切实防范金融风险，加强金融监管，针对银行、券商、资管、保险等多个领域存在的突出问题重点突击、解决、规范，并且避免断崖式收缩，逐步实现平稳过渡。加强金融监管，短期来看使金融机构承压，但长期来看则有利于正本清源，券商、银行等在此过程中加强内部控制、把握自身优势并积极探索创新业务模式，正走出一条更健康的发展之路。</w:t>
      </w:r>
    </w:p>
    <w:p w:rsidR="0082679C" w:rsidRDefault="00B435E0">
      <w:pPr>
        <w:pStyle w:val="4"/>
        <w:spacing w:line="300" w:lineRule="auto"/>
        <w:rPr>
          <w:rFonts w:ascii="宋体" w:hAnsi="宋体" w:cs="宋体"/>
        </w:rPr>
      </w:pPr>
      <w:bookmarkStart w:id="26" w:name="_Toc521346551"/>
      <w:r>
        <w:rPr>
          <w:rFonts w:ascii="宋体" w:hAnsi="宋体" w:cs="宋体" w:hint="eastAsia"/>
        </w:rPr>
        <w:t>2. 互联网应用和人工智能</w:t>
      </w:r>
      <w:bookmarkEnd w:id="26"/>
      <w:r>
        <w:rPr>
          <w:rFonts w:ascii="宋体" w:hAnsi="宋体" w:cs="宋体" w:hint="eastAsia"/>
        </w:rPr>
        <w:t>激发经济活力</w:t>
      </w:r>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2017年新晋榜单中有大华股份、完美世界、三七互娱和蓝色光标等多家互联网、人工智能领域的重要企业，新兴行业与传统行业企业共争辉，具有重要意义。各银行纷纷设立网络金融部，银行、保险、券商等类机构运用人工智能技术进行研究投资，基于互联网技术建立、完善交易系统，与电子商务、社交媒体相结合，创新业务模式，实现巨大的新增长。无论是传统行业还是新兴行业企业，都因互联网和人工智能的应用而不断持续提升商标品牌价值，激发经济活力。</w:t>
      </w:r>
    </w:p>
    <w:p w:rsidR="0082679C" w:rsidRDefault="00B435E0">
      <w:pPr>
        <w:pStyle w:val="4"/>
        <w:spacing w:line="300" w:lineRule="auto"/>
        <w:rPr>
          <w:rFonts w:ascii="宋体" w:hAnsi="宋体" w:cs="宋体"/>
        </w:rPr>
      </w:pPr>
      <w:bookmarkStart w:id="27" w:name="_Toc521346552"/>
      <w:r>
        <w:rPr>
          <w:rFonts w:ascii="宋体" w:hAnsi="宋体" w:cs="宋体" w:hint="eastAsia"/>
        </w:rPr>
        <w:t>3. 传统行业在压力中发现生机</w:t>
      </w:r>
      <w:bookmarkEnd w:id="27"/>
    </w:p>
    <w:p w:rsidR="0082679C" w:rsidRDefault="00B435E0">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近年来，服装、零售等传统行业在消费升级、电商冲击等作用下持续承压，加速产业出清的同时，也在压力之下不断找寻发展之路。以森马服饰等为代表的企业逆势而上，顺应消费者价值观与消费需求模式变化，加速从工业时代进入互联网时代，以消费者作为作业闭环的起点和终点，调整产品结构类型、注重品牌营销与口碑建立，最终突围重生，成为行业细分领域新的“带头人”。</w:t>
      </w:r>
    </w:p>
    <w:p w:rsidR="0082679C" w:rsidRDefault="00B435E0">
      <w:pPr>
        <w:pStyle w:val="3"/>
        <w:spacing w:line="300" w:lineRule="auto"/>
        <w:rPr>
          <w:rFonts w:ascii="宋体" w:hAnsi="宋体" w:cs="宋体"/>
          <w:sz w:val="28"/>
          <w:szCs w:val="28"/>
        </w:rPr>
      </w:pPr>
      <w:bookmarkStart w:id="28" w:name="_Toc521346553"/>
      <w:bookmarkStart w:id="29" w:name="_Toc521338490"/>
      <w:r>
        <w:rPr>
          <w:rFonts w:ascii="宋体" w:hAnsi="宋体" w:cs="宋体" w:hint="eastAsia"/>
          <w:sz w:val="28"/>
          <w:szCs w:val="28"/>
        </w:rPr>
        <w:t>（四）榜单创新点</w:t>
      </w:r>
      <w:bookmarkEnd w:id="28"/>
      <w:bookmarkEnd w:id="29"/>
    </w:p>
    <w:p w:rsidR="0082679C" w:rsidRDefault="00B435E0">
      <w:pPr>
        <w:spacing w:line="300" w:lineRule="auto"/>
        <w:ind w:firstLineChars="200" w:firstLine="482"/>
        <w:rPr>
          <w:rFonts w:ascii="宋体" w:eastAsia="宋体" w:hAnsi="宋体" w:cs="宋体"/>
          <w:szCs w:val="21"/>
        </w:rPr>
      </w:pPr>
      <w:r>
        <w:rPr>
          <w:rFonts w:ascii="宋体" w:eastAsia="宋体" w:hAnsi="宋体" w:cs="宋体" w:hint="eastAsia"/>
          <w:b/>
          <w:bCs/>
          <w:sz w:val="24"/>
          <w:szCs w:val="24"/>
        </w:rPr>
        <w:t>榜单采用综合评估模型，以分成率量化品牌超额收益</w:t>
      </w:r>
      <w:r>
        <w:rPr>
          <w:rFonts w:ascii="宋体" w:eastAsia="宋体" w:hAnsi="宋体" w:cs="宋体" w:hint="eastAsia"/>
          <w:sz w:val="24"/>
          <w:szCs w:val="24"/>
        </w:rPr>
        <w:t>，符合商标品牌价值评价的国内外标准和技术规范，理论与应用体系构建比较严谨，对于国家商标品牌战略实施和企业商标品牌建设具有独特意义；</w:t>
      </w:r>
      <w:r>
        <w:rPr>
          <w:rFonts w:ascii="宋体" w:eastAsia="宋体" w:hAnsi="宋体" w:cs="宋体" w:hint="eastAsia"/>
          <w:b/>
          <w:bCs/>
          <w:sz w:val="24"/>
          <w:szCs w:val="24"/>
        </w:rPr>
        <w:t>完善评价指标体系，</w:t>
      </w:r>
      <w:r>
        <w:rPr>
          <w:rFonts w:ascii="宋体" w:eastAsia="宋体" w:hAnsi="宋体" w:cs="宋体" w:hint="eastAsia"/>
          <w:sz w:val="24"/>
          <w:szCs w:val="24"/>
        </w:rPr>
        <w:t>符合中国国情，差异于其它国家和企业商标品牌评价与管理方法，强调商标品牌还有回馈社会的责任和义务；</w:t>
      </w:r>
      <w:r>
        <w:rPr>
          <w:rFonts w:ascii="宋体" w:eastAsia="宋体" w:hAnsi="宋体" w:cs="宋体" w:hint="eastAsia"/>
          <w:b/>
          <w:bCs/>
          <w:sz w:val="24"/>
          <w:szCs w:val="24"/>
        </w:rPr>
        <w:t>多渠道挖掘有效数据，</w:t>
      </w:r>
      <w:r>
        <w:rPr>
          <w:rFonts w:ascii="宋体" w:eastAsia="宋体" w:hAnsi="宋体" w:cs="宋体" w:hint="eastAsia"/>
          <w:sz w:val="24"/>
          <w:szCs w:val="24"/>
        </w:rPr>
        <w:t>采用上市公司公开披露的信息、调查数据和官方数据，增加权威性与可信度。</w:t>
      </w:r>
      <w:r>
        <w:rPr>
          <w:rFonts w:ascii="宋体" w:eastAsia="宋体" w:hAnsi="宋体" w:cs="宋体" w:hint="eastAsia"/>
          <w:b/>
          <w:bCs/>
          <w:sz w:val="24"/>
          <w:szCs w:val="24"/>
        </w:rPr>
        <w:t>系统的研究方法，</w:t>
      </w:r>
      <w:r>
        <w:rPr>
          <w:rFonts w:ascii="宋体" w:eastAsia="宋体" w:hAnsi="宋体" w:cs="宋体" w:hint="eastAsia"/>
          <w:sz w:val="24"/>
          <w:szCs w:val="24"/>
        </w:rPr>
        <w:t>结合了文献检索、大数据搜索以及实际市场调查，学术专家研讨、行业专家研讨、行业协会与行业管理机构研讨，多样性和科学性的评估方法，以保证研究结果的公正性和客观性；</w:t>
      </w:r>
      <w:r>
        <w:rPr>
          <w:rFonts w:ascii="宋体" w:eastAsia="宋体" w:hAnsi="宋体" w:cs="宋体" w:hint="eastAsia"/>
          <w:b/>
          <w:bCs/>
          <w:sz w:val="24"/>
          <w:szCs w:val="24"/>
        </w:rPr>
        <w:t>凝聚多方智库力量，</w:t>
      </w:r>
      <w:r>
        <w:rPr>
          <w:rFonts w:ascii="宋体" w:eastAsia="宋体" w:hAnsi="宋体" w:cs="宋体" w:hint="eastAsia"/>
          <w:sz w:val="24"/>
          <w:szCs w:val="24"/>
        </w:rPr>
        <w:t>在评估方法、模型构建、具体测算、结果论证与报告编撰的全过程中，市场营销、资产评估、知识产权、信息资源管理等多学科专家学者统筹规划，</w:t>
      </w:r>
      <w:r>
        <w:rPr>
          <w:rFonts w:ascii="宋体" w:eastAsia="宋体" w:hAnsi="宋体" w:cs="宋体" w:hint="eastAsia"/>
          <w:sz w:val="24"/>
          <w:szCs w:val="24"/>
        </w:rPr>
        <w:lastRenderedPageBreak/>
        <w:t>相关行业组织专家与著名企业品牌管理者两大阵营提供业内观点，由国家互联网信息机构提供全网信息搜索与智能分析保障，由权威调查公司提供可靠市场调查数据，凝聚八方专家智慧，共同完成研究项目。</w:t>
      </w:r>
    </w:p>
    <w:p w:rsidR="0082679C" w:rsidRDefault="0082679C">
      <w:pPr>
        <w:spacing w:line="300" w:lineRule="auto"/>
        <w:ind w:firstLine="420"/>
        <w:rPr>
          <w:rFonts w:ascii="宋体" w:eastAsia="宋体" w:hAnsi="宋体" w:cs="宋体"/>
          <w:szCs w:val="21"/>
        </w:rPr>
      </w:pPr>
    </w:p>
    <w:p w:rsidR="0082679C" w:rsidRDefault="00B435E0">
      <w:pPr>
        <w:spacing w:line="300" w:lineRule="auto"/>
        <w:ind w:firstLine="420"/>
        <w:rPr>
          <w:rFonts w:ascii="宋体" w:eastAsia="宋体" w:hAnsi="宋体" w:cs="宋体"/>
          <w:b/>
          <w:bCs/>
          <w:sz w:val="44"/>
          <w:szCs w:val="44"/>
        </w:rPr>
      </w:pPr>
      <w:r>
        <w:rPr>
          <w:rFonts w:ascii="宋体" w:eastAsia="宋体" w:hAnsi="宋体" w:cs="宋体" w:hint="eastAsia"/>
          <w:b/>
          <w:bCs/>
          <w:sz w:val="44"/>
          <w:szCs w:val="44"/>
        </w:rPr>
        <w:t>分榜观察</w:t>
      </w:r>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金融分榜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年金融行业商标品牌价值排行</w:t>
      </w:r>
    </w:p>
    <w:tbl>
      <w:tblPr>
        <w:tblW w:w="8359" w:type="dxa"/>
        <w:jc w:val="center"/>
        <w:tblLayout w:type="fixed"/>
        <w:tblLook w:val="04A0" w:firstRow="1" w:lastRow="0" w:firstColumn="1" w:lastColumn="0" w:noHBand="0" w:noVBand="1"/>
      </w:tblPr>
      <w:tblGrid>
        <w:gridCol w:w="820"/>
        <w:gridCol w:w="1707"/>
        <w:gridCol w:w="3847"/>
        <w:gridCol w:w="1985"/>
      </w:tblGrid>
      <w:tr w:rsidR="0082679C">
        <w:trPr>
          <w:trHeight w:val="567"/>
          <w:jc w:val="center"/>
        </w:trPr>
        <w:tc>
          <w:tcPr>
            <w:tcW w:w="820"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554"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1985"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商标品牌价值（亿元）</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工商银行</w:t>
            </w:r>
          </w:p>
        </w:tc>
        <w:tc>
          <w:tcPr>
            <w:tcW w:w="384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964055" cy="357505"/>
                  <wp:effectExtent l="0" t="0" r="1905" b="8255"/>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pic:cNvPicPr>
                        </pic:nvPicPr>
                        <pic:blipFill>
                          <a:blip r:embed="rId10"/>
                          <a:stretch>
                            <a:fillRect/>
                          </a:stretch>
                        </pic:blipFill>
                        <pic:spPr>
                          <a:xfrm>
                            <a:off x="0" y="0"/>
                            <a:ext cx="1964055" cy="35750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3044.44</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建设银行</w:t>
            </w:r>
          </w:p>
        </w:tc>
        <w:tc>
          <w:tcPr>
            <w:tcW w:w="384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463040" cy="357505"/>
                  <wp:effectExtent l="0" t="0" r="0" b="825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11"/>
                          <a:stretch>
                            <a:fillRect/>
                          </a:stretch>
                        </pic:blipFill>
                        <pic:spPr>
                          <a:xfrm>
                            <a:off x="0" y="0"/>
                            <a:ext cx="1463040" cy="35750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2008.46</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农业银行</w:t>
            </w:r>
          </w:p>
        </w:tc>
        <w:tc>
          <w:tcPr>
            <w:tcW w:w="384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542415" cy="365760"/>
                  <wp:effectExtent l="0" t="0" r="12065" b="0"/>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
                          <pic:cNvPicPr>
                            <a:picLocks noChangeAspect="1"/>
                          </pic:cNvPicPr>
                        </pic:nvPicPr>
                        <pic:blipFill>
                          <a:blip r:embed="rId12"/>
                          <a:stretch>
                            <a:fillRect/>
                          </a:stretch>
                        </pic:blipFill>
                        <pic:spPr>
                          <a:xfrm>
                            <a:off x="0" y="0"/>
                            <a:ext cx="1542415" cy="365760"/>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1532.46</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中国银行</w:t>
            </w:r>
          </w:p>
        </w:tc>
        <w:tc>
          <w:tcPr>
            <w:tcW w:w="384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288415" cy="365760"/>
                  <wp:effectExtent l="0" t="0" r="6985" b="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13"/>
                          <a:stretch>
                            <a:fillRect/>
                          </a:stretch>
                        </pic:blipFill>
                        <pic:spPr>
                          <a:xfrm>
                            <a:off x="0" y="0"/>
                            <a:ext cx="1288415" cy="365760"/>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1346.31</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中国平安</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534795" cy="349885"/>
                  <wp:effectExtent l="0" t="0" r="4445" b="635"/>
                  <wp:docPr id="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pic:cNvPicPr>
                            <a:picLocks noChangeAspect="1"/>
                          </pic:cNvPicPr>
                        </pic:nvPicPr>
                        <pic:blipFill>
                          <a:blip r:embed="rId126"/>
                          <a:stretch>
                            <a:fillRect/>
                          </a:stretch>
                        </pic:blipFill>
                        <pic:spPr>
                          <a:xfrm>
                            <a:off x="0" y="0"/>
                            <a:ext cx="1534795" cy="34988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1010.23</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中国人寿</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898525" cy="357505"/>
                  <wp:effectExtent l="0" t="0" r="635" b="8255"/>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21"/>
                          <a:stretch>
                            <a:fillRect/>
                          </a:stretch>
                        </pic:blipFill>
                        <pic:spPr>
                          <a:xfrm>
                            <a:off x="0" y="0"/>
                            <a:ext cx="898525" cy="35750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770.90</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招商银行</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304290" cy="357505"/>
                  <wp:effectExtent l="0" t="0" r="6350" b="8255"/>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pic:cNvPicPr>
                        </pic:nvPicPr>
                        <pic:blipFill>
                          <a:blip r:embed="rId23"/>
                          <a:stretch>
                            <a:fillRect/>
                          </a:stretch>
                        </pic:blipFill>
                        <pic:spPr>
                          <a:xfrm>
                            <a:off x="0" y="0"/>
                            <a:ext cx="1304290" cy="35750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569.50</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交通银行</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81405" cy="349885"/>
                  <wp:effectExtent l="0" t="0" r="635" b="635"/>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127"/>
                          <a:stretch>
                            <a:fillRect/>
                          </a:stretch>
                        </pic:blipFill>
                        <pic:spPr>
                          <a:xfrm>
                            <a:off x="0" y="0"/>
                            <a:ext cx="1081405" cy="34988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492.87</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浦发银行</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81405" cy="365760"/>
                  <wp:effectExtent l="0" t="0" r="635" b="0"/>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41"/>
                          <a:stretch>
                            <a:fillRect/>
                          </a:stretch>
                        </pic:blipFill>
                        <pic:spPr>
                          <a:xfrm>
                            <a:off x="0" y="0"/>
                            <a:ext cx="1081405" cy="365760"/>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303.20</w:t>
            </w:r>
          </w:p>
        </w:tc>
      </w:tr>
      <w:tr w:rsidR="0082679C">
        <w:trPr>
          <w:trHeight w:val="270"/>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中信证券</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993775" cy="357505"/>
                  <wp:effectExtent l="0" t="0" r="12065" b="8255"/>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pic:cNvPicPr>
                        </pic:nvPicPr>
                        <pic:blipFill>
                          <a:blip r:embed="rId125"/>
                          <a:stretch>
                            <a:fillRect/>
                          </a:stretch>
                        </pic:blipFill>
                        <pic:spPr>
                          <a:xfrm>
                            <a:off x="0" y="0"/>
                            <a:ext cx="993775" cy="357505"/>
                          </a:xfrm>
                          <a:prstGeom prst="rect">
                            <a:avLst/>
                          </a:prstGeom>
                          <a:noFill/>
                          <a:ln w="9525">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302.46</w:t>
            </w:r>
          </w:p>
        </w:tc>
      </w:tr>
    </w:tbl>
    <w:p w:rsidR="0082679C" w:rsidRDefault="0082679C">
      <w:pPr>
        <w:spacing w:line="360" w:lineRule="auto"/>
        <w:rPr>
          <w:rFonts w:ascii="宋体" w:eastAsia="宋体" w:hAnsi="宋体" w:cs="Times New Roman"/>
        </w:rPr>
      </w:pPr>
    </w:p>
    <w:p w:rsidR="0082679C" w:rsidRDefault="00B435E0">
      <w:pPr>
        <w:spacing w:line="360" w:lineRule="auto"/>
        <w:ind w:firstLineChars="200" w:firstLine="420"/>
        <w:rPr>
          <w:rFonts w:ascii="宋体" w:eastAsia="宋体" w:hAnsi="宋体" w:cs="Times New Roman"/>
        </w:rPr>
      </w:pPr>
      <w:r>
        <w:rPr>
          <w:rFonts w:ascii="宋体" w:eastAsia="宋体" w:hAnsi="宋体" w:cs="Times New Roman"/>
        </w:rPr>
        <w:t>2017沪深上市公司商标品牌价值排行榜金融分榜中，十家上榜企业商标品牌价值总额为11,380.84亿元，较2016榜单同比上涨5.45%，其中以工商银行、建设银行、农业银行为代表的</w:t>
      </w:r>
      <w:r>
        <w:rPr>
          <w:rFonts w:ascii="宋体" w:eastAsia="宋体" w:hAnsi="宋体" w:cs="Times New Roman" w:hint="eastAsia"/>
        </w:rPr>
        <w:t>8</w:t>
      </w:r>
      <w:r>
        <w:rPr>
          <w:rFonts w:ascii="宋体" w:eastAsia="宋体" w:hAnsi="宋体" w:cs="Times New Roman"/>
        </w:rPr>
        <w:t>家企业商标品牌价值均有所上升，整体呈上升趋势 。从企业细分业态分布来看，十家上榜企业中有七家银行，两家保险公司和一家证券公司。其中，工商银行、建设银行、农业银行、中国银行以及中国平安组成第一梯队，其商标品牌价值均超过千亿元；中国人寿、</w:t>
      </w:r>
      <w:r>
        <w:rPr>
          <w:rFonts w:ascii="宋体" w:eastAsia="宋体" w:hAnsi="宋体" w:cs="Times New Roman"/>
        </w:rPr>
        <w:lastRenderedPageBreak/>
        <w:t>招商银行组成第二梯队，其商标品牌价值处于500至1000亿元之间的；，第三梯队企业商标品牌价值则</w:t>
      </w:r>
      <w:r>
        <w:rPr>
          <w:rFonts w:ascii="宋体" w:eastAsia="宋体" w:hAnsi="宋体" w:cs="Times New Roman" w:hint="eastAsia"/>
        </w:rPr>
        <w:t>位于均在</w:t>
      </w:r>
      <w:r>
        <w:rPr>
          <w:rFonts w:ascii="宋体" w:eastAsia="宋体" w:hAnsi="宋体" w:cs="Times New Roman"/>
        </w:rPr>
        <w:t>300至500亿元之间。十家上榜企业中，浦发银行商标品牌价值增长最快，较2016年上涨126.51亿元，同比增长71.60%。</w:t>
      </w:r>
    </w:p>
    <w:p w:rsidR="0082679C" w:rsidRDefault="00B435E0">
      <w:pPr>
        <w:spacing w:line="360" w:lineRule="auto"/>
        <w:ind w:firstLineChars="200" w:firstLine="420"/>
        <w:rPr>
          <w:rFonts w:ascii="宋体" w:eastAsia="宋体" w:hAnsi="宋体" w:cs="Times New Roman"/>
        </w:rPr>
      </w:pPr>
      <w:r>
        <w:rPr>
          <w:rFonts w:ascii="宋体" w:eastAsia="宋体" w:hAnsi="宋体" w:cs="Times New Roman" w:hint="eastAsia"/>
        </w:rPr>
        <w:t>工商银行、建设银行、中国平安和中国人寿，在</w:t>
      </w:r>
      <w:r>
        <w:rPr>
          <w:rFonts w:ascii="宋体" w:eastAsia="宋体" w:hAnsi="宋体" w:cs="Times New Roman"/>
        </w:rPr>
        <w:t>2016年度至2017年度分榜中排名序位不变，仍然分别占据排名第一名、第二名、第五名和第六名；农业银行2016年度排名第四，2017年度晋级第三名；，招商银行2016年度排名第八，2017年度晋级第七名；浦发银行和中信证券首次</w:t>
      </w:r>
      <w:r>
        <w:rPr>
          <w:rFonts w:ascii="宋体" w:eastAsia="宋体" w:hAnsi="宋体" w:cs="Times New Roman" w:hint="eastAsia"/>
        </w:rPr>
        <w:t>进入</w:t>
      </w:r>
      <w:r>
        <w:rPr>
          <w:rFonts w:ascii="宋体" w:eastAsia="宋体" w:hAnsi="宋体" w:cs="Times New Roman"/>
        </w:rPr>
        <w:t>2017榜单，分别位</w:t>
      </w:r>
      <w:r>
        <w:rPr>
          <w:rFonts w:ascii="宋体" w:eastAsia="宋体" w:hAnsi="宋体" w:cs="Times New Roman" w:hint="eastAsia"/>
        </w:rPr>
        <w:t>为</w:t>
      </w:r>
      <w:r>
        <w:rPr>
          <w:rFonts w:ascii="宋体" w:eastAsia="宋体" w:hAnsi="宋体" w:cs="Times New Roman"/>
        </w:rPr>
        <w:t>排名第九名和第十名。整体来看，2017年度上榜企业及其名次基本趋稳 。</w:t>
      </w:r>
    </w:p>
    <w:p w:rsidR="0082679C" w:rsidRDefault="00B435E0">
      <w:pPr>
        <w:spacing w:line="360" w:lineRule="auto"/>
        <w:ind w:firstLineChars="200" w:firstLine="420"/>
        <w:rPr>
          <w:rFonts w:ascii="宋体" w:eastAsia="宋体" w:hAnsi="宋体" w:cs="Times New Roman"/>
        </w:rPr>
      </w:pPr>
      <w:r>
        <w:rPr>
          <w:rFonts w:ascii="宋体" w:eastAsia="宋体" w:hAnsi="宋体" w:cs="Times New Roman" w:hint="eastAsia"/>
        </w:rPr>
        <w:t>金融行业企业商标品牌价值集中度很高，排名前四的企业商标品牌价值总值占上榜企业商标品牌价值总额比重为</w:t>
      </w:r>
      <w:r>
        <w:rPr>
          <w:rFonts w:ascii="宋体" w:eastAsia="宋体" w:hAnsi="宋体" w:cs="Times New Roman"/>
        </w:rPr>
        <w:t>69.69%，排名前四的企业商标品牌价值占对应上市公司市值的比重分别为19.37%、14.77%、15.22%、13.29%，而上榜企业商标品牌价值总额占对应上市公司市值总额的14.79%。另一方面，大部分上榜金融企业总资产报酬率超过行业平均水平，盈利能力表现良好。</w:t>
      </w:r>
    </w:p>
    <w:p w:rsidR="0082679C" w:rsidRDefault="00B435E0">
      <w:pPr>
        <w:pStyle w:val="1"/>
        <w:spacing w:line="300" w:lineRule="auto"/>
        <w:jc w:val="center"/>
        <w:rPr>
          <w:rFonts w:ascii="宋体" w:cs="Times New Roman"/>
          <w:sz w:val="36"/>
          <w:szCs w:val="36"/>
        </w:rPr>
      </w:pPr>
      <w:r>
        <w:rPr>
          <w:rFonts w:ascii="宋体" w:hAnsi="宋体" w:cs="宋体" w:hint="eastAsia"/>
          <w:sz w:val="36"/>
          <w:szCs w:val="36"/>
        </w:rPr>
        <w:t>汽车整车制造分榜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年汽车整车制造行业商标品牌价值排行</w:t>
      </w:r>
    </w:p>
    <w:tbl>
      <w:tblPr>
        <w:tblW w:w="8516" w:type="dxa"/>
        <w:jc w:val="center"/>
        <w:tblLayout w:type="fixed"/>
        <w:tblLook w:val="04A0" w:firstRow="1" w:lastRow="0" w:firstColumn="1" w:lastColumn="0" w:noHBand="0" w:noVBand="1"/>
      </w:tblPr>
      <w:tblGrid>
        <w:gridCol w:w="841"/>
        <w:gridCol w:w="1753"/>
        <w:gridCol w:w="3866"/>
        <w:gridCol w:w="2056"/>
      </w:tblGrid>
      <w:tr w:rsidR="0082679C">
        <w:trPr>
          <w:trHeight w:val="567"/>
          <w:jc w:val="center"/>
        </w:trPr>
        <w:tc>
          <w:tcPr>
            <w:tcW w:w="841"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序号</w:t>
            </w:r>
          </w:p>
        </w:tc>
        <w:tc>
          <w:tcPr>
            <w:tcW w:w="5619"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eastAsia="宋体" w:hAnsi="宋体" w:cs="宋体" w:hint="eastAsia"/>
                <w:b/>
                <w:bCs/>
                <w:color w:val="000000"/>
                <w:kern w:val="0"/>
                <w:szCs w:val="21"/>
              </w:rPr>
              <w:t>上市公司简称</w:t>
            </w:r>
          </w:p>
        </w:tc>
        <w:tc>
          <w:tcPr>
            <w:tcW w:w="2056"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商标品牌价值（亿元）</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上汽集团</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898525" cy="365760"/>
                  <wp:effectExtent l="0" t="0" r="635" b="0"/>
                  <wp:docPr id="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
                          <pic:cNvPicPr>
                            <a:picLocks noChangeAspect="1"/>
                          </pic:cNvPicPr>
                        </pic:nvPicPr>
                        <pic:blipFill>
                          <a:blip r:embed="rId15"/>
                          <a:stretch>
                            <a:fillRect/>
                          </a:stretch>
                        </pic:blipFill>
                        <pic:spPr>
                          <a:xfrm>
                            <a:off x="0" y="0"/>
                            <a:ext cx="898525" cy="365760"/>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1130.75</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广汽集团</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304290" cy="349885"/>
                  <wp:effectExtent l="0" t="0" r="6350" b="635"/>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pic:cNvPicPr>
                        </pic:nvPicPr>
                        <pic:blipFill>
                          <a:blip r:embed="rId24"/>
                          <a:stretch>
                            <a:fillRect/>
                          </a:stretch>
                        </pic:blipFill>
                        <pic:spPr>
                          <a:xfrm>
                            <a:off x="0" y="0"/>
                            <a:ext cx="1304290" cy="349885"/>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539.35</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长城汽车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375410" cy="341630"/>
                  <wp:effectExtent l="0" t="0" r="11430" b="889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33"/>
                          <a:stretch>
                            <a:fillRect/>
                          </a:stretch>
                        </pic:blipFill>
                        <pic:spPr>
                          <a:xfrm>
                            <a:off x="0" y="0"/>
                            <a:ext cx="1375410" cy="341630"/>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386.34</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长安汽车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763270" cy="349885"/>
                  <wp:effectExtent l="0" t="0" r="13970" b="635"/>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36"/>
                          <a:stretch>
                            <a:fillRect/>
                          </a:stretch>
                        </pic:blipFill>
                        <pic:spPr>
                          <a:xfrm>
                            <a:off x="0" y="0"/>
                            <a:ext cx="763270" cy="349885"/>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354.92</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比亚迪</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532765" cy="357505"/>
                  <wp:effectExtent l="0" t="0" r="635" b="8255"/>
                  <wp:docPr id="1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
                          <pic:cNvPicPr>
                            <a:picLocks noChangeAspect="1"/>
                          </pic:cNvPicPr>
                        </pic:nvPicPr>
                        <pic:blipFill>
                          <a:blip r:embed="rId61"/>
                          <a:stretch>
                            <a:fillRect/>
                          </a:stretch>
                        </pic:blipFill>
                        <pic:spPr>
                          <a:xfrm>
                            <a:off x="0" y="0"/>
                            <a:ext cx="532765" cy="357505"/>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223.20</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宇通客车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542415" cy="357505"/>
                  <wp:effectExtent l="0" t="0" r="12065" b="8255"/>
                  <wp:docPr id="1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
                          <pic:cNvPicPr>
                            <a:picLocks noChangeAspect="1"/>
                          </pic:cNvPicPr>
                        </pic:nvPicPr>
                        <pic:blipFill>
                          <a:blip r:embed="rId82"/>
                          <a:stretch>
                            <a:fillRect/>
                          </a:stretch>
                        </pic:blipFill>
                        <pic:spPr>
                          <a:xfrm>
                            <a:off x="0" y="0"/>
                            <a:ext cx="1542415" cy="357505"/>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166.61</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7</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江铃汽车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097280" cy="357505"/>
                  <wp:effectExtent l="0" t="0" r="0" b="8255"/>
                  <wp:docPr id="1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
                          <pic:cNvPicPr>
                            <a:picLocks noChangeAspect="1"/>
                          </pic:cNvPicPr>
                        </pic:nvPicPr>
                        <pic:blipFill>
                          <a:blip r:embed="rId128"/>
                          <a:stretch>
                            <a:fillRect/>
                          </a:stretch>
                        </pic:blipFill>
                        <pic:spPr>
                          <a:xfrm>
                            <a:off x="0" y="0"/>
                            <a:ext cx="1097280" cy="357505"/>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91.89</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lastRenderedPageBreak/>
              <w:t>8</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江淮汽车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612140" cy="365760"/>
                  <wp:effectExtent l="0" t="0" r="12700" b="0"/>
                  <wp:docPr id="1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
                          <pic:cNvPicPr>
                            <a:picLocks noChangeAspect="1"/>
                          </pic:cNvPicPr>
                        </pic:nvPicPr>
                        <pic:blipFill>
                          <a:blip r:embed="rId129"/>
                          <a:stretch>
                            <a:fillRect/>
                          </a:stretch>
                        </pic:blipFill>
                        <pic:spPr>
                          <a:xfrm>
                            <a:off x="0" y="0"/>
                            <a:ext cx="612140" cy="365760"/>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34.17</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中通客车</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232535" cy="365760"/>
                  <wp:effectExtent l="0" t="0" r="1905" b="0"/>
                  <wp:docPr id="1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9"/>
                          <pic:cNvPicPr>
                            <a:picLocks noChangeAspect="1"/>
                          </pic:cNvPicPr>
                        </pic:nvPicPr>
                        <pic:blipFill>
                          <a:blip r:embed="rId130"/>
                          <a:stretch>
                            <a:fillRect/>
                          </a:stretch>
                        </pic:blipFill>
                        <pic:spPr>
                          <a:xfrm>
                            <a:off x="0" y="0"/>
                            <a:ext cx="1232535" cy="365760"/>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24.13</w:t>
            </w:r>
          </w:p>
        </w:tc>
      </w:tr>
      <w:tr w:rsidR="0082679C">
        <w:trPr>
          <w:trHeight w:val="192"/>
          <w:jc w:val="center"/>
        </w:trPr>
        <w:tc>
          <w:tcPr>
            <w:tcW w:w="841"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10</w:t>
            </w:r>
          </w:p>
        </w:tc>
        <w:tc>
          <w:tcPr>
            <w:tcW w:w="175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中国重汽</w:t>
            </w:r>
          </w:p>
        </w:tc>
        <w:tc>
          <w:tcPr>
            <w:tcW w:w="3866"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993775" cy="341630"/>
                  <wp:effectExtent l="0" t="0" r="12065" b="8890"/>
                  <wp:docPr id="1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0"/>
                          <pic:cNvPicPr>
                            <a:picLocks noChangeAspect="1"/>
                          </pic:cNvPicPr>
                        </pic:nvPicPr>
                        <pic:blipFill>
                          <a:blip r:embed="rId131"/>
                          <a:stretch>
                            <a:fillRect/>
                          </a:stretch>
                        </pic:blipFill>
                        <pic:spPr>
                          <a:xfrm>
                            <a:off x="0" y="0"/>
                            <a:ext cx="993775" cy="341630"/>
                          </a:xfrm>
                          <a:prstGeom prst="rect">
                            <a:avLst/>
                          </a:prstGeom>
                          <a:noFill/>
                          <a:ln w="9525">
                            <a:noFill/>
                          </a:ln>
                        </pic:spPr>
                      </pic:pic>
                    </a:graphicData>
                  </a:graphic>
                </wp:inline>
              </w:drawing>
            </w:r>
          </w:p>
        </w:tc>
        <w:tc>
          <w:tcPr>
            <w:tcW w:w="2056"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21.88</w:t>
            </w:r>
          </w:p>
        </w:tc>
      </w:tr>
    </w:tbl>
    <w:p w:rsidR="0082679C" w:rsidRDefault="0082679C">
      <w:pPr>
        <w:rPr>
          <w:rFonts w:ascii="宋体" w:cs="Times New Roman"/>
        </w:rPr>
      </w:pPr>
    </w:p>
    <w:p w:rsidR="0082679C" w:rsidRPr="00D5636E" w:rsidRDefault="00B435E0">
      <w:pPr>
        <w:spacing w:line="300" w:lineRule="auto"/>
        <w:ind w:firstLineChars="200" w:firstLine="420"/>
        <w:rPr>
          <w:rFonts w:ascii="宋体" w:eastAsia="宋体" w:hAnsi="宋体" w:cs="Times New Roman"/>
          <w:kern w:val="0"/>
          <w:szCs w:val="21"/>
        </w:rPr>
      </w:pPr>
      <w:r w:rsidRPr="00D5636E">
        <w:rPr>
          <w:rFonts w:ascii="宋体" w:eastAsia="宋体" w:hAnsi="宋体" w:cs="宋体"/>
          <w:szCs w:val="21"/>
        </w:rPr>
        <w:t>2017</w:t>
      </w:r>
      <w:r w:rsidRPr="00D5636E">
        <w:rPr>
          <w:rFonts w:ascii="宋体" w:eastAsia="宋体" w:hAnsi="宋体" w:cs="宋体" w:hint="eastAsia"/>
          <w:szCs w:val="21"/>
        </w:rPr>
        <w:t>沪深上市公司商标品牌价值排行榜汽车整车制造分榜中，十家上榜企业商标品牌价值总额为</w:t>
      </w:r>
      <w:r w:rsidRPr="00D5636E">
        <w:rPr>
          <w:rFonts w:ascii="宋体" w:eastAsia="宋体" w:hAnsi="宋体" w:cs="宋体"/>
          <w:kern w:val="0"/>
          <w:szCs w:val="21"/>
        </w:rPr>
        <w:t>2973.24</w:t>
      </w:r>
      <w:r w:rsidRPr="00D5636E">
        <w:rPr>
          <w:rFonts w:ascii="宋体" w:eastAsia="宋体" w:hAnsi="宋体" w:cs="宋体" w:hint="eastAsia"/>
          <w:szCs w:val="21"/>
        </w:rPr>
        <w:t>亿元，较</w:t>
      </w:r>
      <w:r w:rsidRPr="00D5636E">
        <w:rPr>
          <w:rFonts w:ascii="宋体" w:eastAsia="宋体" w:hAnsi="宋体" w:cs="宋体"/>
          <w:szCs w:val="21"/>
        </w:rPr>
        <w:t>2016</w:t>
      </w:r>
      <w:r w:rsidRPr="00D5636E">
        <w:rPr>
          <w:rFonts w:ascii="宋体" w:eastAsia="宋体" w:hAnsi="宋体" w:cs="宋体" w:hint="eastAsia"/>
          <w:szCs w:val="21"/>
        </w:rPr>
        <w:t>榜单同比上涨</w:t>
      </w:r>
      <w:r w:rsidRPr="00D5636E">
        <w:rPr>
          <w:rFonts w:ascii="宋体" w:eastAsia="宋体" w:hAnsi="宋体" w:cs="宋体"/>
          <w:szCs w:val="21"/>
        </w:rPr>
        <w:t>20.79%</w:t>
      </w:r>
      <w:r w:rsidRPr="00D5636E">
        <w:rPr>
          <w:rFonts w:ascii="宋体" w:eastAsia="宋体" w:hAnsi="宋体" w:cs="宋体" w:hint="eastAsia"/>
          <w:szCs w:val="21"/>
        </w:rPr>
        <w:t>，整体呈上升趋势。其中，</w:t>
      </w:r>
      <w:r w:rsidRPr="00D5636E">
        <w:rPr>
          <w:rFonts w:ascii="宋体" w:eastAsia="宋体" w:hAnsi="宋体" w:cs="宋体" w:hint="eastAsia"/>
          <w:kern w:val="0"/>
          <w:szCs w:val="21"/>
        </w:rPr>
        <w:t>上汽集团成为行业中首家商标品牌价值超千亿的企业，达</w:t>
      </w:r>
      <w:r w:rsidRPr="00D5636E">
        <w:rPr>
          <w:rFonts w:ascii="宋体" w:eastAsia="宋体" w:hAnsi="宋体" w:cs="宋体"/>
          <w:kern w:val="0"/>
          <w:szCs w:val="21"/>
        </w:rPr>
        <w:t>1,130.75</w:t>
      </w:r>
      <w:r w:rsidRPr="00D5636E">
        <w:rPr>
          <w:rFonts w:ascii="宋体" w:eastAsia="宋体" w:hAnsi="宋体" w:cs="宋体" w:hint="eastAsia"/>
          <w:kern w:val="0"/>
          <w:szCs w:val="21"/>
        </w:rPr>
        <w:t>亿元，上汽集团公司商标品牌价值增长最多，上涨</w:t>
      </w:r>
      <w:r w:rsidRPr="00D5636E">
        <w:rPr>
          <w:rFonts w:ascii="宋体" w:eastAsia="宋体" w:hAnsi="宋体" w:cs="宋体"/>
          <w:kern w:val="0"/>
          <w:szCs w:val="21"/>
        </w:rPr>
        <w:t>211.93</w:t>
      </w:r>
      <w:r w:rsidRPr="00D5636E">
        <w:rPr>
          <w:rFonts w:ascii="宋体" w:eastAsia="宋体" w:hAnsi="宋体" w:cs="宋体" w:hint="eastAsia"/>
          <w:kern w:val="0"/>
          <w:szCs w:val="21"/>
        </w:rPr>
        <w:t>亿元；长城汽车商标品牌价值增幅最大。</w:t>
      </w: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hint="eastAsia"/>
          <w:kern w:val="0"/>
          <w:szCs w:val="21"/>
        </w:rPr>
        <w:t>上汽集团</w:t>
      </w:r>
      <w:r w:rsidRPr="00D5636E">
        <w:rPr>
          <w:rFonts w:ascii="宋体" w:eastAsia="宋体" w:hAnsi="宋体" w:cs="宋体" w:hint="eastAsia"/>
          <w:szCs w:val="21"/>
        </w:rPr>
        <w:t>、</w:t>
      </w:r>
      <w:r w:rsidRPr="00D5636E">
        <w:rPr>
          <w:rFonts w:ascii="宋体" w:eastAsia="宋体" w:hAnsi="宋体" w:cs="宋体" w:hint="eastAsia"/>
          <w:kern w:val="0"/>
          <w:szCs w:val="21"/>
        </w:rPr>
        <w:t>广汽集团</w:t>
      </w:r>
      <w:r w:rsidRPr="00D5636E">
        <w:rPr>
          <w:rFonts w:ascii="宋体" w:eastAsia="宋体" w:hAnsi="宋体" w:cs="宋体" w:hint="eastAsia"/>
          <w:szCs w:val="21"/>
        </w:rPr>
        <w:t>、比亚迪、宇通客车、江铃汽车、江淮汽车和中通客车，在</w:t>
      </w:r>
      <w:r w:rsidRPr="00D5636E">
        <w:rPr>
          <w:rFonts w:ascii="宋体" w:eastAsia="宋体" w:hAnsi="宋体" w:cs="宋体"/>
          <w:szCs w:val="21"/>
        </w:rPr>
        <w:t>2016</w:t>
      </w:r>
      <w:r w:rsidRPr="00D5636E">
        <w:rPr>
          <w:rFonts w:ascii="宋体" w:eastAsia="宋体" w:hAnsi="宋体" w:cs="宋体" w:hint="eastAsia"/>
          <w:szCs w:val="21"/>
        </w:rPr>
        <w:t>年度至</w:t>
      </w:r>
      <w:r w:rsidRPr="00D5636E">
        <w:rPr>
          <w:rFonts w:ascii="宋体" w:eastAsia="宋体" w:hAnsi="宋体" w:cs="宋体"/>
          <w:szCs w:val="21"/>
        </w:rPr>
        <w:t>2017</w:t>
      </w:r>
      <w:r w:rsidRPr="00D5636E">
        <w:rPr>
          <w:rFonts w:ascii="宋体" w:eastAsia="宋体" w:hAnsi="宋体" w:cs="宋体" w:hint="eastAsia"/>
          <w:szCs w:val="21"/>
        </w:rPr>
        <w:t>年度分榜排名中序位不变，仍然分别占据排名第一名、第二名、第五名、第六名、第七名、第八名和第九名</w:t>
      </w:r>
      <w:r w:rsidRPr="00D5636E">
        <w:rPr>
          <w:rFonts w:ascii="宋体" w:eastAsia="宋体" w:hAnsi="宋体" w:cs="宋体" w:hint="eastAsia"/>
          <w:kern w:val="0"/>
          <w:szCs w:val="21"/>
        </w:rPr>
        <w:t>；长城汽车</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排名第四，</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晋级第三</w:t>
      </w:r>
      <w:r w:rsidRPr="00D5636E">
        <w:rPr>
          <w:rFonts w:ascii="宋体" w:eastAsia="宋体" w:hAnsi="宋体" w:cs="宋体" w:hint="eastAsia"/>
          <w:szCs w:val="21"/>
        </w:rPr>
        <w:t>名</w:t>
      </w:r>
      <w:r w:rsidRPr="00D5636E">
        <w:rPr>
          <w:rFonts w:ascii="宋体" w:eastAsia="宋体" w:hAnsi="宋体" w:cs="宋体" w:hint="eastAsia"/>
          <w:kern w:val="0"/>
          <w:szCs w:val="21"/>
        </w:rPr>
        <w:t>，中国重汽</w:t>
      </w:r>
      <w:r w:rsidRPr="00D5636E">
        <w:rPr>
          <w:rFonts w:ascii="宋体" w:eastAsia="宋体" w:hAnsi="宋体" w:cs="宋体" w:hint="eastAsia"/>
          <w:szCs w:val="21"/>
        </w:rPr>
        <w:t>首次进入</w:t>
      </w:r>
      <w:r w:rsidRPr="00D5636E">
        <w:rPr>
          <w:rFonts w:ascii="宋体" w:eastAsia="宋体" w:hAnsi="宋体" w:cs="宋体"/>
          <w:szCs w:val="21"/>
        </w:rPr>
        <w:t>2017</w:t>
      </w:r>
      <w:r w:rsidRPr="00D5636E">
        <w:rPr>
          <w:rFonts w:ascii="宋体" w:eastAsia="宋体" w:hAnsi="宋体" w:cs="宋体" w:hint="eastAsia"/>
          <w:szCs w:val="21"/>
        </w:rPr>
        <w:t>榜单，位居第十名；长安</w:t>
      </w:r>
      <w:r w:rsidRPr="00D5636E">
        <w:rPr>
          <w:rFonts w:ascii="宋体" w:eastAsia="宋体" w:hAnsi="宋体" w:cs="宋体" w:hint="eastAsia"/>
          <w:kern w:val="0"/>
          <w:szCs w:val="21"/>
        </w:rPr>
        <w:t>汽车</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排名</w:t>
      </w:r>
      <w:r w:rsidRPr="00D5636E">
        <w:rPr>
          <w:rFonts w:ascii="宋体" w:eastAsia="宋体" w:hAnsi="宋体" w:cs="宋体" w:hint="eastAsia"/>
          <w:szCs w:val="21"/>
        </w:rPr>
        <w:t>第四名。</w:t>
      </w:r>
      <w:r w:rsidRPr="00D5636E">
        <w:rPr>
          <w:rFonts w:ascii="宋体" w:eastAsia="宋体" w:hAnsi="宋体" w:cs="宋体"/>
          <w:kern w:val="0"/>
          <w:szCs w:val="21"/>
        </w:rPr>
        <w:t>2017</w:t>
      </w:r>
      <w:r w:rsidRPr="00D5636E">
        <w:rPr>
          <w:rFonts w:ascii="宋体" w:eastAsia="宋体" w:hAnsi="宋体" w:cs="宋体" w:hint="eastAsia"/>
          <w:szCs w:val="21"/>
        </w:rPr>
        <w:t>年度上榜企业及其名次整体趋</w:t>
      </w:r>
      <w:r w:rsidRPr="00D5636E">
        <w:rPr>
          <w:rFonts w:ascii="宋体" w:eastAsia="宋体" w:hAnsi="宋体" w:cs="宋体" w:hint="eastAsia"/>
          <w:kern w:val="0"/>
          <w:szCs w:val="21"/>
        </w:rPr>
        <w:t>稳。</w:t>
      </w:r>
    </w:p>
    <w:p w:rsidR="0082679C" w:rsidRPr="00D5636E" w:rsidRDefault="00B435E0">
      <w:pPr>
        <w:spacing w:line="300" w:lineRule="auto"/>
        <w:ind w:firstLineChars="200" w:firstLine="420"/>
        <w:rPr>
          <w:rFonts w:ascii="宋体" w:eastAsia="宋体" w:hAnsi="宋体" w:cs="Times New Roman"/>
          <w:kern w:val="0"/>
          <w:szCs w:val="21"/>
        </w:rPr>
      </w:pPr>
      <w:r w:rsidRPr="00D5636E">
        <w:rPr>
          <w:rFonts w:ascii="宋体" w:eastAsia="宋体" w:hAnsi="宋体" w:cs="宋体" w:hint="eastAsia"/>
          <w:kern w:val="0"/>
          <w:szCs w:val="21"/>
        </w:rPr>
        <w:t>汽车整车制造行业企业商标品牌价值集中度很高</w:t>
      </w:r>
      <w:r w:rsidRPr="00D5636E">
        <w:rPr>
          <w:rFonts w:ascii="宋体" w:eastAsia="宋体" w:hAnsi="宋体" w:cs="宋体"/>
          <w:kern w:val="0"/>
          <w:szCs w:val="21"/>
        </w:rPr>
        <w:t>,</w:t>
      </w:r>
      <w:r w:rsidRPr="00D5636E">
        <w:rPr>
          <w:rFonts w:ascii="宋体" w:eastAsia="宋体" w:hAnsi="宋体" w:cs="宋体" w:hint="eastAsia"/>
          <w:kern w:val="0"/>
          <w:szCs w:val="21"/>
        </w:rPr>
        <w:t>排名前三的企业商标品牌价值总值占全部上榜企业的</w:t>
      </w:r>
      <w:r w:rsidRPr="00D5636E">
        <w:rPr>
          <w:rFonts w:ascii="宋体" w:eastAsia="宋体" w:hAnsi="宋体" w:cs="宋体"/>
          <w:kern w:val="0"/>
          <w:szCs w:val="21"/>
        </w:rPr>
        <w:t>69.16%</w:t>
      </w:r>
      <w:r w:rsidRPr="00D5636E">
        <w:rPr>
          <w:rFonts w:ascii="宋体" w:eastAsia="宋体" w:hAnsi="宋体" w:cs="宋体" w:hint="eastAsia"/>
          <w:kern w:val="0"/>
          <w:szCs w:val="21"/>
        </w:rPr>
        <w:t>，排名前三的企业商标品牌价值占上市公司市值的比重分别为</w:t>
      </w:r>
      <w:r w:rsidRPr="00D5636E">
        <w:rPr>
          <w:rFonts w:ascii="宋体" w:eastAsia="宋体" w:hAnsi="宋体" w:cs="宋体"/>
          <w:kern w:val="0"/>
          <w:szCs w:val="21"/>
        </w:rPr>
        <w:t>41.27%</w:t>
      </w:r>
      <w:r w:rsidRPr="00D5636E">
        <w:rPr>
          <w:rFonts w:ascii="宋体" w:eastAsia="宋体" w:hAnsi="宋体" w:cs="宋体" w:hint="eastAsia"/>
          <w:kern w:val="0"/>
          <w:szCs w:val="21"/>
        </w:rPr>
        <w:t>、</w:t>
      </w:r>
      <w:r w:rsidRPr="00D5636E">
        <w:rPr>
          <w:rFonts w:ascii="宋体" w:eastAsia="宋体" w:hAnsi="宋体" w:cs="宋体"/>
          <w:kern w:val="0"/>
          <w:szCs w:val="21"/>
        </w:rPr>
        <w:t>36.07%</w:t>
      </w:r>
      <w:r w:rsidRPr="00D5636E">
        <w:rPr>
          <w:rFonts w:ascii="宋体" w:eastAsia="宋体" w:hAnsi="宋体" w:cs="宋体" w:hint="eastAsia"/>
          <w:kern w:val="0"/>
          <w:szCs w:val="21"/>
        </w:rPr>
        <w:t>和</w:t>
      </w:r>
      <w:r w:rsidRPr="00D5636E">
        <w:rPr>
          <w:rFonts w:ascii="宋体" w:eastAsia="宋体" w:hAnsi="宋体" w:cs="宋体"/>
          <w:kern w:val="0"/>
          <w:szCs w:val="21"/>
        </w:rPr>
        <w:t>38.27%</w:t>
      </w:r>
      <w:r w:rsidRPr="00D5636E">
        <w:rPr>
          <w:rFonts w:ascii="宋体" w:eastAsia="宋体" w:hAnsi="宋体" w:cs="宋体" w:hint="eastAsia"/>
          <w:kern w:val="0"/>
          <w:szCs w:val="21"/>
        </w:rPr>
        <w:t>，上榜企业商标品牌价值总额占对应上市公司市值总额的比例约</w:t>
      </w:r>
      <w:r w:rsidRPr="00D5636E">
        <w:rPr>
          <w:rFonts w:ascii="宋体" w:eastAsia="宋体" w:hAnsi="宋体" w:cs="宋体"/>
          <w:kern w:val="0"/>
          <w:szCs w:val="21"/>
        </w:rPr>
        <w:t>36%</w:t>
      </w:r>
      <w:r w:rsidRPr="00D5636E">
        <w:rPr>
          <w:rFonts w:ascii="宋体" w:eastAsia="宋体" w:hAnsi="宋体" w:cs="宋体" w:hint="eastAsia"/>
          <w:kern w:val="0"/>
          <w:szCs w:val="21"/>
        </w:rPr>
        <w:t>。</w:t>
      </w:r>
      <w:bookmarkStart w:id="30" w:name="OLE_LINK2"/>
      <w:r w:rsidRPr="00D5636E">
        <w:rPr>
          <w:rFonts w:ascii="宋体" w:eastAsia="宋体" w:hAnsi="宋体" w:cs="宋体" w:hint="eastAsia"/>
          <w:kern w:val="0"/>
          <w:szCs w:val="21"/>
        </w:rPr>
        <w:t>大部分上榜企业总资产报酬率都超过行业平均水平。</w:t>
      </w:r>
      <w:bookmarkEnd w:id="30"/>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家电行业分榜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年家用电器行业商标品牌价值排行</w:t>
      </w:r>
    </w:p>
    <w:tbl>
      <w:tblPr>
        <w:tblW w:w="8296" w:type="dxa"/>
        <w:jc w:val="center"/>
        <w:tblLayout w:type="fixed"/>
        <w:tblLook w:val="04A0" w:firstRow="1" w:lastRow="0" w:firstColumn="1" w:lastColumn="0" w:noHBand="0" w:noVBand="1"/>
      </w:tblPr>
      <w:tblGrid>
        <w:gridCol w:w="820"/>
        <w:gridCol w:w="1707"/>
        <w:gridCol w:w="3847"/>
        <w:gridCol w:w="1922"/>
      </w:tblGrid>
      <w:tr w:rsidR="0082679C">
        <w:trPr>
          <w:trHeight w:val="567"/>
          <w:jc w:val="center"/>
        </w:trPr>
        <w:tc>
          <w:tcPr>
            <w:tcW w:w="820"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554"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1922"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商标品牌价值（亿元）</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格力电器</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820545" cy="365760"/>
                  <wp:effectExtent l="0" t="0" r="8255" b="0"/>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pic:cNvPicPr>
                        </pic:nvPicPr>
                        <pic:blipFill>
                          <a:blip r:embed="rId25"/>
                          <a:stretch>
                            <a:fillRect/>
                          </a:stretch>
                        </pic:blipFill>
                        <pic:spPr>
                          <a:xfrm>
                            <a:off x="0" y="0"/>
                            <a:ext cx="1820545"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535.83</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美的集团</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02030" cy="349885"/>
                  <wp:effectExtent l="0" t="0" r="3810" b="635"/>
                  <wp:docPr id="1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
                          <pic:cNvPicPr>
                            <a:picLocks noChangeAspect="1"/>
                          </pic:cNvPicPr>
                        </pic:nvPicPr>
                        <pic:blipFill>
                          <a:blip r:embed="rId26"/>
                          <a:stretch>
                            <a:fillRect/>
                          </a:stretch>
                        </pic:blipFill>
                        <pic:spPr>
                          <a:xfrm>
                            <a:off x="0" y="0"/>
                            <a:ext cx="1002030" cy="34988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504.90</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青岛海尔</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810895" cy="365760"/>
                  <wp:effectExtent l="0" t="0" r="12065" b="0"/>
                  <wp:docPr id="1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3"/>
                          <pic:cNvPicPr>
                            <a:picLocks noChangeAspect="1"/>
                          </pic:cNvPicPr>
                        </pic:nvPicPr>
                        <pic:blipFill>
                          <a:blip r:embed="rId28"/>
                          <a:stretch>
                            <a:fillRect/>
                          </a:stretch>
                        </pic:blipFill>
                        <pic:spPr>
                          <a:xfrm>
                            <a:off x="0" y="0"/>
                            <a:ext cx="810895"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473.37</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color w:val="000000"/>
                <w:kern w:val="0"/>
              </w:rPr>
              <w:t>TCL</w:t>
            </w:r>
            <w:r>
              <w:rPr>
                <w:rFonts w:ascii="宋体" w:eastAsia="宋体" w:hAnsi="宋体" w:cs="宋体" w:hint="eastAsia"/>
                <w:color w:val="000000"/>
                <w:kern w:val="0"/>
              </w:rPr>
              <w:t>集团</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48640" cy="357505"/>
                  <wp:effectExtent l="0" t="0" r="0" b="8255"/>
                  <wp:docPr id="1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4"/>
                          <pic:cNvPicPr>
                            <a:picLocks noChangeAspect="1"/>
                          </pic:cNvPicPr>
                        </pic:nvPicPr>
                        <pic:blipFill>
                          <a:blip r:embed="rId106"/>
                          <a:stretch>
                            <a:fillRect/>
                          </a:stretch>
                        </pic:blipFill>
                        <pic:spPr>
                          <a:xfrm>
                            <a:off x="0" y="0"/>
                            <a:ext cx="548640" cy="35750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118.62</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老板电器</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423035" cy="357505"/>
                  <wp:effectExtent l="0" t="0" r="9525" b="8255"/>
                  <wp:docPr id="1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5"/>
                          <pic:cNvPicPr>
                            <a:picLocks noChangeAspect="1"/>
                          </pic:cNvPicPr>
                        </pic:nvPicPr>
                        <pic:blipFill>
                          <a:blip r:embed="rId132"/>
                          <a:stretch>
                            <a:fillRect/>
                          </a:stretch>
                        </pic:blipFill>
                        <pic:spPr>
                          <a:xfrm>
                            <a:off x="0" y="0"/>
                            <a:ext cx="1423035" cy="35750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81.88</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小天鹅</w:t>
            </w:r>
            <w:r>
              <w:rPr>
                <w:rFonts w:ascii="宋体" w:eastAsia="宋体" w:hAnsi="宋体" w:cs="宋体"/>
                <w:color w:val="000000"/>
                <w:kern w:val="0"/>
              </w:rPr>
              <w:t>A</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970280" cy="365760"/>
                  <wp:effectExtent l="0" t="0" r="5080" b="0"/>
                  <wp:docPr id="1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6"/>
                          <pic:cNvPicPr>
                            <a:picLocks noChangeAspect="1"/>
                          </pic:cNvPicPr>
                        </pic:nvPicPr>
                        <pic:blipFill>
                          <a:blip r:embed="rId133"/>
                          <a:stretch>
                            <a:fillRect/>
                          </a:stretch>
                        </pic:blipFill>
                        <pic:spPr>
                          <a:xfrm>
                            <a:off x="0" y="0"/>
                            <a:ext cx="97028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74.41</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lastRenderedPageBreak/>
              <w:t>7</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苏泊尔</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939925" cy="325755"/>
                  <wp:effectExtent l="0" t="0" r="10795" b="9525"/>
                  <wp:docPr id="1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7"/>
                          <pic:cNvPicPr>
                            <a:picLocks noChangeAspect="1"/>
                          </pic:cNvPicPr>
                        </pic:nvPicPr>
                        <pic:blipFill>
                          <a:blip r:embed="rId134"/>
                          <a:stretch>
                            <a:fillRect/>
                          </a:stretch>
                        </pic:blipFill>
                        <pic:spPr>
                          <a:xfrm>
                            <a:off x="0" y="0"/>
                            <a:ext cx="1939925" cy="32575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61.48</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海信电器</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717675" cy="365760"/>
                  <wp:effectExtent l="0" t="0" r="4445" b="0"/>
                  <wp:docPr id="1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8"/>
                          <pic:cNvPicPr>
                            <a:picLocks noChangeAspect="1"/>
                          </pic:cNvPicPr>
                        </pic:nvPicPr>
                        <pic:blipFill>
                          <a:blip r:embed="rId135"/>
                          <a:stretch>
                            <a:fillRect/>
                          </a:stretch>
                        </pic:blipFill>
                        <pic:spPr>
                          <a:xfrm>
                            <a:off x="0" y="0"/>
                            <a:ext cx="1717675"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59.55</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飞科电器</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407160" cy="365760"/>
                  <wp:effectExtent l="0" t="0" r="10160" b="0"/>
                  <wp:docPr id="1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9"/>
                          <pic:cNvPicPr>
                            <a:picLocks noChangeAspect="1"/>
                          </pic:cNvPicPr>
                        </pic:nvPicPr>
                        <pic:blipFill>
                          <a:blip r:embed="rId136"/>
                          <a:stretch>
                            <a:fillRect/>
                          </a:stretch>
                        </pic:blipFill>
                        <pic:spPr>
                          <a:xfrm>
                            <a:off x="0" y="0"/>
                            <a:ext cx="140716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51.96</w:t>
            </w:r>
          </w:p>
        </w:tc>
      </w:tr>
      <w:tr w:rsidR="0082679C">
        <w:trPr>
          <w:trHeight w:val="269"/>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九阳股份</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31520" cy="357505"/>
                  <wp:effectExtent l="0" t="0" r="0" b="8255"/>
                  <wp:docPr id="1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0"/>
                          <pic:cNvPicPr>
                            <a:picLocks noChangeAspect="1"/>
                          </pic:cNvPicPr>
                        </pic:nvPicPr>
                        <pic:blipFill>
                          <a:blip r:embed="rId137"/>
                          <a:stretch>
                            <a:fillRect/>
                          </a:stretch>
                        </pic:blipFill>
                        <pic:spPr>
                          <a:xfrm>
                            <a:off x="0" y="0"/>
                            <a:ext cx="731520" cy="35750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42.14</w:t>
            </w:r>
          </w:p>
        </w:tc>
      </w:tr>
    </w:tbl>
    <w:p w:rsidR="0082679C" w:rsidRDefault="0082679C">
      <w:pPr>
        <w:spacing w:line="360" w:lineRule="auto"/>
        <w:rPr>
          <w:rFonts w:ascii="宋体" w:eastAsia="宋体" w:hAnsi="宋体" w:cs="Times New Roman"/>
        </w:rPr>
      </w:pPr>
    </w:p>
    <w:p w:rsidR="0082679C" w:rsidRDefault="00B435E0">
      <w:pPr>
        <w:spacing w:line="300" w:lineRule="auto"/>
        <w:ind w:firstLineChars="200" w:firstLine="420"/>
        <w:rPr>
          <w:rFonts w:ascii="宋体" w:eastAsia="宋体" w:hAnsi="宋体" w:cs="Times New Roman"/>
        </w:rPr>
      </w:pPr>
      <w:r>
        <w:rPr>
          <w:rFonts w:ascii="宋体" w:eastAsia="宋体" w:hAnsi="宋体" w:cs="宋体"/>
        </w:rPr>
        <w:t>2017</w:t>
      </w:r>
      <w:r>
        <w:rPr>
          <w:rFonts w:ascii="宋体" w:eastAsia="宋体" w:hAnsi="宋体" w:cs="宋体" w:hint="eastAsia"/>
        </w:rPr>
        <w:t>沪深上市公司商标品牌价值排行榜家用电器分榜中，十家上榜企业商标品牌价值总额为</w:t>
      </w:r>
      <w:r>
        <w:rPr>
          <w:rFonts w:ascii="宋体" w:eastAsia="宋体" w:hAnsi="宋体" w:cs="宋体"/>
        </w:rPr>
        <w:t>2,004.15</w:t>
      </w:r>
      <w:r>
        <w:rPr>
          <w:rFonts w:ascii="宋体" w:eastAsia="宋体" w:hAnsi="宋体" w:cs="宋体" w:hint="eastAsia"/>
        </w:rPr>
        <w:t>亿元，较</w:t>
      </w:r>
      <w:r>
        <w:rPr>
          <w:rFonts w:ascii="宋体" w:eastAsia="宋体" w:hAnsi="宋体" w:cs="宋体"/>
        </w:rPr>
        <w:t>2016</w:t>
      </w:r>
      <w:r>
        <w:rPr>
          <w:rFonts w:ascii="宋体" w:eastAsia="宋体" w:hAnsi="宋体" w:cs="宋体" w:hint="eastAsia"/>
        </w:rPr>
        <w:t>榜单同比上涨</w:t>
      </w:r>
      <w:r>
        <w:rPr>
          <w:rFonts w:ascii="宋体" w:eastAsia="宋体" w:hAnsi="宋体" w:cs="宋体"/>
        </w:rPr>
        <w:t>25.33%</w:t>
      </w:r>
      <w:r>
        <w:rPr>
          <w:rFonts w:ascii="宋体" w:eastAsia="宋体" w:hAnsi="宋体" w:cs="宋体" w:hint="eastAsia"/>
        </w:rPr>
        <w:t>，整体和单个企业的商标品牌价值均呈上升趋势。格力电器、美的集团、青岛海尔组成家电行业的第一梯队，其商标品牌价值均在</w:t>
      </w:r>
      <w:r>
        <w:rPr>
          <w:rFonts w:ascii="宋体" w:eastAsia="宋体" w:hAnsi="宋体" w:cs="宋体"/>
        </w:rPr>
        <w:t>500</w:t>
      </w:r>
      <w:r>
        <w:rPr>
          <w:rFonts w:ascii="宋体" w:eastAsia="宋体" w:hAnsi="宋体" w:cs="宋体" w:hint="eastAsia"/>
        </w:rPr>
        <w:t>亿元左右。除九阳股份以外，该榜单内其他企业商标品牌价值均在</w:t>
      </w:r>
      <w:r>
        <w:rPr>
          <w:rFonts w:ascii="宋体" w:eastAsia="宋体" w:hAnsi="宋体" w:cs="宋体"/>
        </w:rPr>
        <w:t>50</w:t>
      </w:r>
      <w:r>
        <w:rPr>
          <w:rFonts w:ascii="宋体" w:eastAsia="宋体" w:hAnsi="宋体" w:cs="宋体" w:hint="eastAsia"/>
        </w:rPr>
        <w:t>亿元以上。</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格力电器、美的集团、青岛海尔、</w:t>
      </w:r>
      <w:r>
        <w:rPr>
          <w:rFonts w:ascii="宋体" w:eastAsia="宋体" w:hAnsi="宋体" w:cs="宋体"/>
        </w:rPr>
        <w:t>TCL</w:t>
      </w:r>
      <w:r>
        <w:rPr>
          <w:rFonts w:ascii="宋体" w:eastAsia="宋体" w:hAnsi="宋体" w:cs="宋体" w:hint="eastAsia"/>
        </w:rPr>
        <w:t>集团、老板电器、小天鹅</w:t>
      </w:r>
      <w:r>
        <w:rPr>
          <w:rFonts w:ascii="宋体" w:eastAsia="宋体" w:hAnsi="宋体" w:cs="宋体"/>
        </w:rPr>
        <w:t>A</w:t>
      </w:r>
      <w:r>
        <w:rPr>
          <w:rFonts w:ascii="宋体" w:eastAsia="宋体" w:hAnsi="宋体" w:cs="宋体" w:hint="eastAsia"/>
        </w:rPr>
        <w:t>，在</w:t>
      </w:r>
      <w:r>
        <w:rPr>
          <w:rFonts w:ascii="宋体" w:eastAsia="宋体" w:hAnsi="宋体" w:cs="宋体"/>
        </w:rPr>
        <w:t>2016</w:t>
      </w:r>
      <w:r>
        <w:rPr>
          <w:rFonts w:ascii="宋体" w:eastAsia="宋体" w:hAnsi="宋体" w:cs="宋体" w:hint="eastAsia"/>
        </w:rPr>
        <w:t>年度至</w:t>
      </w:r>
      <w:r>
        <w:rPr>
          <w:rFonts w:ascii="宋体" w:eastAsia="宋体" w:hAnsi="宋体" w:cs="宋体"/>
        </w:rPr>
        <w:t>2017</w:t>
      </w:r>
      <w:r>
        <w:rPr>
          <w:rFonts w:ascii="宋体" w:eastAsia="宋体" w:hAnsi="宋体" w:cs="宋体" w:hint="eastAsia"/>
        </w:rPr>
        <w:t>年度分榜排名中序位不变，仍然分别占据排名第一名至第六名；</w:t>
      </w:r>
      <w:r>
        <w:rPr>
          <w:rFonts w:ascii="宋体" w:eastAsia="宋体" w:hAnsi="宋体" w:cs="宋体" w:hint="eastAsia"/>
          <w:kern w:val="0"/>
        </w:rPr>
        <w:t>苏泊尔</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排名第八，</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晋级第七</w:t>
      </w:r>
      <w:r>
        <w:rPr>
          <w:rFonts w:ascii="宋体" w:eastAsia="宋体" w:hAnsi="宋体" w:cs="宋体" w:hint="eastAsia"/>
        </w:rPr>
        <w:t>名</w:t>
      </w:r>
      <w:r>
        <w:rPr>
          <w:rFonts w:ascii="宋体" w:eastAsia="宋体" w:hAnsi="宋体" w:cs="宋体" w:hint="eastAsia"/>
          <w:kern w:val="0"/>
        </w:rPr>
        <w:t>；</w:t>
      </w:r>
      <w:r>
        <w:rPr>
          <w:rFonts w:ascii="宋体" w:eastAsia="宋体" w:hAnsi="宋体" w:cs="宋体" w:hint="eastAsia"/>
        </w:rPr>
        <w:t>飞科电器首次进入</w:t>
      </w:r>
      <w:r>
        <w:rPr>
          <w:rFonts w:ascii="宋体" w:eastAsia="宋体" w:hAnsi="宋体" w:cs="宋体"/>
        </w:rPr>
        <w:t>2017</w:t>
      </w:r>
      <w:r>
        <w:rPr>
          <w:rFonts w:ascii="宋体" w:eastAsia="宋体" w:hAnsi="宋体" w:cs="宋体" w:hint="eastAsia"/>
        </w:rPr>
        <w:t>榜单，位居第九名；海信电器和九阳股份</w:t>
      </w:r>
      <w:r>
        <w:rPr>
          <w:rFonts w:ascii="宋体" w:eastAsia="宋体" w:hAnsi="宋体" w:cs="宋体"/>
          <w:kern w:val="0"/>
        </w:rPr>
        <w:t>2017</w:t>
      </w:r>
      <w:r>
        <w:rPr>
          <w:rFonts w:ascii="宋体" w:eastAsia="宋体" w:hAnsi="宋体" w:cs="宋体" w:hint="eastAsia"/>
        </w:rPr>
        <w:t>年度分别</w:t>
      </w:r>
      <w:r>
        <w:rPr>
          <w:rFonts w:ascii="宋体" w:eastAsia="宋体" w:hAnsi="宋体" w:cs="宋体" w:hint="eastAsia"/>
          <w:kern w:val="0"/>
        </w:rPr>
        <w:t>排名</w:t>
      </w:r>
      <w:r>
        <w:rPr>
          <w:rFonts w:ascii="宋体" w:eastAsia="宋体" w:hAnsi="宋体" w:cs="宋体" w:hint="eastAsia"/>
        </w:rPr>
        <w:t>第八名和第十名。</w:t>
      </w:r>
      <w:r>
        <w:rPr>
          <w:rFonts w:ascii="宋体" w:eastAsia="宋体" w:hAnsi="宋体" w:cs="宋体"/>
          <w:kern w:val="0"/>
        </w:rPr>
        <w:t>2017</w:t>
      </w:r>
      <w:r>
        <w:rPr>
          <w:rFonts w:ascii="宋体" w:eastAsia="宋体" w:hAnsi="宋体" w:cs="宋体" w:hint="eastAsia"/>
        </w:rPr>
        <w:t>年度上榜企业及其名次整体趋</w:t>
      </w:r>
      <w:r>
        <w:rPr>
          <w:rFonts w:ascii="宋体" w:eastAsia="宋体" w:hAnsi="宋体" w:cs="宋体" w:hint="eastAsia"/>
          <w:kern w:val="0"/>
        </w:rPr>
        <w:t>稳。</w:t>
      </w:r>
    </w:p>
    <w:p w:rsidR="0082679C" w:rsidRDefault="00B435E0">
      <w:pPr>
        <w:widowControl/>
        <w:spacing w:line="300" w:lineRule="auto"/>
        <w:ind w:firstLineChars="200" w:firstLine="420"/>
        <w:rPr>
          <w:rFonts w:ascii="宋体" w:eastAsia="宋体" w:hAnsi="宋体" w:cs="Times New Roman"/>
          <w:color w:val="000000"/>
          <w:kern w:val="0"/>
        </w:rPr>
      </w:pPr>
      <w:r>
        <w:rPr>
          <w:rFonts w:ascii="宋体" w:eastAsia="宋体" w:hAnsi="宋体" w:cs="宋体" w:hint="eastAsia"/>
          <w:kern w:val="0"/>
        </w:rPr>
        <w:t>家电行业企业商标品牌价值集中度非常高，</w:t>
      </w:r>
      <w:r>
        <w:rPr>
          <w:rFonts w:ascii="宋体" w:eastAsia="宋体" w:hAnsi="宋体" w:cs="宋体" w:hint="eastAsia"/>
        </w:rPr>
        <w:t>排名前三的企业商标品牌价值总值占上榜企业总额的</w:t>
      </w:r>
      <w:r>
        <w:rPr>
          <w:rFonts w:ascii="宋体" w:eastAsia="宋体" w:hAnsi="宋体" w:cs="宋体"/>
        </w:rPr>
        <w:t>75.55%</w:t>
      </w:r>
      <w:r>
        <w:rPr>
          <w:rFonts w:ascii="宋体" w:eastAsia="宋体" w:hAnsi="宋体" w:cs="宋体" w:hint="eastAsia"/>
        </w:rPr>
        <w:t>，前三名企业商标品牌价值占对应上市公司市值总额的比重也分别高达</w:t>
      </w:r>
      <w:r>
        <w:rPr>
          <w:rFonts w:ascii="宋体" w:eastAsia="宋体" w:hAnsi="宋体" w:cs="宋体"/>
        </w:rPr>
        <w:t>36.18%</w:t>
      </w:r>
      <w:r>
        <w:rPr>
          <w:rFonts w:ascii="宋体" w:eastAsia="宋体" w:hAnsi="宋体" w:cs="宋体" w:hint="eastAsia"/>
        </w:rPr>
        <w:t>、</w:t>
      </w:r>
      <w:r>
        <w:rPr>
          <w:rFonts w:ascii="宋体" w:eastAsia="宋体" w:hAnsi="宋体" w:cs="宋体"/>
        </w:rPr>
        <w:t>27.75%</w:t>
      </w:r>
      <w:r>
        <w:rPr>
          <w:rFonts w:ascii="宋体" w:eastAsia="宋体" w:hAnsi="宋体" w:cs="宋体" w:hint="eastAsia"/>
        </w:rPr>
        <w:t>、</w:t>
      </w:r>
      <w:r>
        <w:rPr>
          <w:rFonts w:ascii="宋体" w:eastAsia="宋体" w:hAnsi="宋体" w:cs="宋体"/>
        </w:rPr>
        <w:t>50.19%</w:t>
      </w:r>
      <w:r>
        <w:rPr>
          <w:rFonts w:ascii="宋体" w:eastAsia="宋体" w:hAnsi="宋体" w:cs="宋体" w:hint="eastAsia"/>
        </w:rPr>
        <w:t>，上榜企业商标品牌价值总额占对应上市公司市值总额的</w:t>
      </w:r>
      <w:r>
        <w:rPr>
          <w:rFonts w:ascii="宋体" w:eastAsia="宋体" w:hAnsi="宋体" w:cs="宋体"/>
        </w:rPr>
        <w:t>36.01%</w:t>
      </w:r>
      <w:r>
        <w:rPr>
          <w:rFonts w:ascii="宋体" w:eastAsia="宋体" w:hAnsi="宋体" w:cs="宋体" w:hint="eastAsia"/>
        </w:rPr>
        <w:t>，显示这些企业在品牌建设和品牌竞争方面的优势较大。</w:t>
      </w:r>
      <w:bookmarkStart w:id="31" w:name="_Hlk520459816"/>
      <w:r>
        <w:rPr>
          <w:rFonts w:ascii="宋体" w:eastAsia="宋体" w:hAnsi="宋体" w:cs="宋体" w:hint="eastAsia"/>
          <w:color w:val="000000"/>
          <w:kern w:val="0"/>
        </w:rPr>
        <w:t>大部分上榜家电企业总资产报酬率超过行业平均水平，品牌建设付出的努力得到市场业绩回馈。</w:t>
      </w:r>
      <w:bookmarkEnd w:id="31"/>
    </w:p>
    <w:p w:rsidR="0082679C" w:rsidRDefault="00B435E0">
      <w:pPr>
        <w:pStyle w:val="1"/>
        <w:spacing w:line="300" w:lineRule="auto"/>
        <w:jc w:val="center"/>
        <w:rPr>
          <w:rFonts w:ascii="宋体" w:cs="Times New Roman"/>
          <w:sz w:val="36"/>
          <w:szCs w:val="36"/>
        </w:rPr>
      </w:pPr>
      <w:r>
        <w:rPr>
          <w:rFonts w:ascii="宋体" w:hAnsi="宋体" w:cs="宋体" w:hint="eastAsia"/>
          <w:sz w:val="36"/>
          <w:szCs w:val="36"/>
        </w:rPr>
        <w:t>食品饮料分榜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12017</w:t>
      </w:r>
      <w:r>
        <w:rPr>
          <w:rFonts w:ascii="宋体" w:eastAsia="宋体" w:hAnsi="宋体" w:cs="宋体" w:hint="eastAsia"/>
          <w:b/>
          <w:bCs/>
          <w:sz w:val="21"/>
          <w:szCs w:val="21"/>
        </w:rPr>
        <w:t>年食品饮料行业商标品牌价值排行</w:t>
      </w:r>
    </w:p>
    <w:tbl>
      <w:tblPr>
        <w:tblW w:w="85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509"/>
        <w:gridCol w:w="3802"/>
        <w:gridCol w:w="2454"/>
      </w:tblGrid>
      <w:tr w:rsidR="0082679C">
        <w:trPr>
          <w:trHeight w:val="567"/>
        </w:trPr>
        <w:tc>
          <w:tcPr>
            <w:tcW w:w="749" w:type="dxa"/>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序号</w:t>
            </w:r>
          </w:p>
        </w:tc>
        <w:tc>
          <w:tcPr>
            <w:tcW w:w="5311" w:type="dxa"/>
            <w:gridSpan w:val="2"/>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eastAsia="宋体" w:hAnsi="宋体" w:cs="宋体" w:hint="eastAsia"/>
                <w:b/>
                <w:bCs/>
                <w:color w:val="000000"/>
                <w:kern w:val="0"/>
                <w:szCs w:val="21"/>
              </w:rPr>
              <w:t>上市公司简称</w:t>
            </w:r>
          </w:p>
        </w:tc>
        <w:tc>
          <w:tcPr>
            <w:tcW w:w="2454" w:type="dxa"/>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商标品牌价值（亿元）</w:t>
            </w:r>
          </w:p>
        </w:tc>
      </w:tr>
      <w:tr w:rsidR="0082679C">
        <w:trPr>
          <w:trHeight w:val="458"/>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贵州茅台</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13385" cy="365760"/>
                  <wp:effectExtent l="0" t="0" r="13335" b="0"/>
                  <wp:docPr id="1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1"/>
                          <pic:cNvPicPr>
                            <a:picLocks noChangeAspect="1"/>
                          </pic:cNvPicPr>
                        </pic:nvPicPr>
                        <pic:blipFill>
                          <a:blip r:embed="rId138"/>
                          <a:stretch>
                            <a:fillRect/>
                          </a:stretch>
                        </pic:blipFill>
                        <pic:spPr>
                          <a:xfrm>
                            <a:off x="0" y="0"/>
                            <a:ext cx="413385"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573.43</w:t>
            </w:r>
          </w:p>
        </w:tc>
      </w:tr>
      <w:tr w:rsidR="0082679C">
        <w:trPr>
          <w:trHeight w:val="270"/>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伊利股份</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739775" cy="365760"/>
                  <wp:effectExtent l="0" t="0" r="6985" b="0"/>
                  <wp:docPr id="1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2"/>
                          <pic:cNvPicPr>
                            <a:picLocks noChangeAspect="1"/>
                          </pic:cNvPicPr>
                        </pic:nvPicPr>
                        <pic:blipFill>
                          <a:blip r:embed="rId139"/>
                          <a:stretch>
                            <a:fillRect/>
                          </a:stretch>
                        </pic:blipFill>
                        <pic:spPr>
                          <a:xfrm>
                            <a:off x="0" y="0"/>
                            <a:ext cx="739775"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375.60</w:t>
            </w:r>
          </w:p>
        </w:tc>
      </w:tr>
      <w:tr w:rsidR="0082679C">
        <w:trPr>
          <w:trHeight w:val="270"/>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五粮液</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463040" cy="365760"/>
                  <wp:effectExtent l="0" t="0" r="0" b="0"/>
                  <wp:docPr id="1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3"/>
                          <pic:cNvPicPr>
                            <a:picLocks noChangeAspect="1"/>
                          </pic:cNvPicPr>
                        </pic:nvPicPr>
                        <pic:blipFill>
                          <a:blip r:embed="rId56"/>
                          <a:stretch>
                            <a:fillRect/>
                          </a:stretch>
                        </pic:blipFill>
                        <pic:spPr>
                          <a:xfrm>
                            <a:off x="0" y="0"/>
                            <a:ext cx="146304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265.54</w:t>
            </w:r>
          </w:p>
        </w:tc>
      </w:tr>
      <w:tr w:rsidR="0082679C">
        <w:trPr>
          <w:trHeight w:val="331"/>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双汇发展</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526540" cy="365760"/>
                  <wp:effectExtent l="0" t="0" r="12700" b="0"/>
                  <wp:docPr id="1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4"/>
                          <pic:cNvPicPr>
                            <a:picLocks noChangeAspect="1"/>
                          </pic:cNvPicPr>
                        </pic:nvPicPr>
                        <pic:blipFill>
                          <a:blip r:embed="rId66"/>
                          <a:stretch>
                            <a:fillRect/>
                          </a:stretch>
                        </pic:blipFill>
                        <pic:spPr>
                          <a:xfrm>
                            <a:off x="0" y="0"/>
                            <a:ext cx="152654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215.21</w:t>
            </w:r>
          </w:p>
        </w:tc>
      </w:tr>
      <w:tr w:rsidR="0082679C">
        <w:trPr>
          <w:trHeight w:val="270"/>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青岛啤酒</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572770" cy="365760"/>
                  <wp:effectExtent l="0" t="0" r="6350" b="0"/>
                  <wp:docPr id="1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5"/>
                          <pic:cNvPicPr>
                            <a:picLocks noChangeAspect="1"/>
                          </pic:cNvPicPr>
                        </pic:nvPicPr>
                        <pic:blipFill>
                          <a:blip r:embed="rId93"/>
                          <a:stretch>
                            <a:fillRect/>
                          </a:stretch>
                        </pic:blipFill>
                        <pic:spPr>
                          <a:xfrm>
                            <a:off x="0" y="0"/>
                            <a:ext cx="57277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140.05</w:t>
            </w:r>
          </w:p>
        </w:tc>
      </w:tr>
      <w:tr w:rsidR="0082679C">
        <w:trPr>
          <w:trHeight w:val="270"/>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lastRenderedPageBreak/>
              <w:t>6</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洋河股份</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009650" cy="365760"/>
                  <wp:effectExtent l="0" t="0" r="11430" b="0"/>
                  <wp:docPr id="167"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6" descr="IMG_256"/>
                          <pic:cNvPicPr>
                            <a:picLocks noChangeAspect="1"/>
                          </pic:cNvPicPr>
                        </pic:nvPicPr>
                        <pic:blipFill>
                          <a:blip r:embed="rId94"/>
                          <a:stretch>
                            <a:fillRect/>
                          </a:stretch>
                        </pic:blipFill>
                        <pic:spPr>
                          <a:xfrm>
                            <a:off x="0" y="0"/>
                            <a:ext cx="100965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137.50</w:t>
            </w:r>
          </w:p>
        </w:tc>
      </w:tr>
      <w:tr w:rsidR="0082679C">
        <w:trPr>
          <w:trHeight w:val="270"/>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7</w:t>
            </w:r>
          </w:p>
        </w:tc>
        <w:tc>
          <w:tcPr>
            <w:tcW w:w="150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hint="eastAsia"/>
                <w:color w:val="000000"/>
                <w:kern w:val="0"/>
                <w:szCs w:val="21"/>
              </w:rPr>
              <w:t>张裕</w:t>
            </w:r>
            <w:r>
              <w:rPr>
                <w:rFonts w:ascii="宋体" w:hAnsi="宋体" w:cs="宋体"/>
                <w:color w:val="000000"/>
                <w:kern w:val="0"/>
                <w:szCs w:val="21"/>
              </w:rPr>
              <w:t>A</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256030" cy="357505"/>
                  <wp:effectExtent l="0" t="0" r="8890" b="8255"/>
                  <wp:docPr id="1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7"/>
                          <pic:cNvPicPr>
                            <a:picLocks noChangeAspect="1"/>
                          </pic:cNvPicPr>
                        </pic:nvPicPr>
                        <pic:blipFill>
                          <a:blip r:embed="rId140"/>
                          <a:stretch>
                            <a:fillRect/>
                          </a:stretch>
                        </pic:blipFill>
                        <pic:spPr>
                          <a:xfrm>
                            <a:off x="0" y="0"/>
                            <a:ext cx="1256030" cy="357505"/>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97.90</w:t>
            </w:r>
          </w:p>
        </w:tc>
      </w:tr>
      <w:tr w:rsidR="0082679C">
        <w:trPr>
          <w:trHeight w:val="452"/>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8</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海天味业</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508635" cy="365760"/>
                  <wp:effectExtent l="0" t="0" r="9525" b="0"/>
                  <wp:docPr id="1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8"/>
                          <pic:cNvPicPr>
                            <a:picLocks noChangeAspect="1"/>
                          </pic:cNvPicPr>
                        </pic:nvPicPr>
                        <pic:blipFill>
                          <a:blip r:embed="rId141"/>
                          <a:stretch>
                            <a:fillRect/>
                          </a:stretch>
                        </pic:blipFill>
                        <pic:spPr>
                          <a:xfrm>
                            <a:off x="0" y="0"/>
                            <a:ext cx="508635"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63.53</w:t>
            </w:r>
          </w:p>
        </w:tc>
      </w:tr>
      <w:tr w:rsidR="0082679C">
        <w:trPr>
          <w:trHeight w:val="221"/>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泸州老窖</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270510" cy="365760"/>
                  <wp:effectExtent l="0" t="0" r="3810" b="0"/>
                  <wp:docPr id="1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9"/>
                          <pic:cNvPicPr>
                            <a:picLocks noChangeAspect="1"/>
                          </pic:cNvPicPr>
                        </pic:nvPicPr>
                        <pic:blipFill>
                          <a:blip r:embed="rId142"/>
                          <a:stretch>
                            <a:fillRect/>
                          </a:stretch>
                        </pic:blipFill>
                        <pic:spPr>
                          <a:xfrm>
                            <a:off x="0" y="0"/>
                            <a:ext cx="27051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59.70</w:t>
            </w:r>
          </w:p>
        </w:tc>
      </w:tr>
      <w:tr w:rsidR="0082679C">
        <w:trPr>
          <w:trHeight w:val="131"/>
        </w:trPr>
        <w:tc>
          <w:tcPr>
            <w:tcW w:w="749"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10</w:t>
            </w:r>
          </w:p>
        </w:tc>
        <w:tc>
          <w:tcPr>
            <w:tcW w:w="1509" w:type="dxa"/>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燕京啤酒</w:t>
            </w:r>
          </w:p>
        </w:tc>
        <w:tc>
          <w:tcPr>
            <w:tcW w:w="3802" w:type="dxa"/>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397510" cy="365760"/>
                  <wp:effectExtent l="0" t="0" r="13970" b="0"/>
                  <wp:docPr id="1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0"/>
                          <pic:cNvPicPr>
                            <a:picLocks noChangeAspect="1"/>
                          </pic:cNvPicPr>
                        </pic:nvPicPr>
                        <pic:blipFill>
                          <a:blip r:embed="rId143"/>
                          <a:stretch>
                            <a:fillRect/>
                          </a:stretch>
                        </pic:blipFill>
                        <pic:spPr>
                          <a:xfrm>
                            <a:off x="0" y="0"/>
                            <a:ext cx="397510" cy="365760"/>
                          </a:xfrm>
                          <a:prstGeom prst="rect">
                            <a:avLst/>
                          </a:prstGeom>
                          <a:noFill/>
                          <a:ln w="9525">
                            <a:noFill/>
                          </a:ln>
                        </pic:spPr>
                      </pic:pic>
                    </a:graphicData>
                  </a:graphic>
                </wp:inline>
              </w:drawing>
            </w:r>
          </w:p>
        </w:tc>
        <w:tc>
          <w:tcPr>
            <w:tcW w:w="2454" w:type="dxa"/>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58.64</w:t>
            </w:r>
          </w:p>
        </w:tc>
      </w:tr>
    </w:tbl>
    <w:p w:rsidR="0082679C" w:rsidRDefault="0082679C">
      <w:pPr>
        <w:jc w:val="center"/>
        <w:rPr>
          <w:rFonts w:ascii="宋体" w:cs="Times New Roman"/>
        </w:rPr>
      </w:pP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szCs w:val="21"/>
        </w:rPr>
        <w:t>2017</w:t>
      </w:r>
      <w:r w:rsidRPr="00D5636E">
        <w:rPr>
          <w:rFonts w:ascii="宋体" w:eastAsia="宋体" w:hAnsi="宋体" w:cs="宋体" w:hint="eastAsia"/>
          <w:szCs w:val="21"/>
        </w:rPr>
        <w:t>沪深上市公司商标品牌价值排行榜食品饮料分榜中，十家上榜企业商标品牌价值总额为</w:t>
      </w:r>
      <w:r w:rsidRPr="00D5636E">
        <w:rPr>
          <w:rFonts w:ascii="宋体" w:eastAsia="宋体" w:hAnsi="宋体" w:cs="宋体"/>
          <w:szCs w:val="21"/>
        </w:rPr>
        <w:t>1,987.10</w:t>
      </w:r>
      <w:r w:rsidRPr="00D5636E">
        <w:rPr>
          <w:rFonts w:ascii="宋体" w:eastAsia="宋体" w:hAnsi="宋体" w:cs="宋体" w:hint="eastAsia"/>
          <w:szCs w:val="21"/>
        </w:rPr>
        <w:t>亿元，较</w:t>
      </w:r>
      <w:r w:rsidRPr="00D5636E">
        <w:rPr>
          <w:rFonts w:ascii="宋体" w:eastAsia="宋体" w:hAnsi="宋体" w:cs="宋体"/>
          <w:szCs w:val="21"/>
        </w:rPr>
        <w:t>2016</w:t>
      </w:r>
      <w:r w:rsidRPr="00D5636E">
        <w:rPr>
          <w:rFonts w:ascii="宋体" w:eastAsia="宋体" w:hAnsi="宋体" w:cs="宋体" w:hint="eastAsia"/>
          <w:szCs w:val="21"/>
        </w:rPr>
        <w:t>榜单同比上涨18.94%</w:t>
      </w:r>
      <w:r w:rsidRPr="00D5636E">
        <w:rPr>
          <w:rFonts w:ascii="宋体" w:eastAsia="宋体" w:hAnsi="宋体" w:cs="宋体"/>
          <w:szCs w:val="21"/>
        </w:rPr>
        <w:t>%</w:t>
      </w:r>
      <w:r w:rsidRPr="00D5636E">
        <w:rPr>
          <w:rFonts w:ascii="宋体" w:eastAsia="宋体" w:hAnsi="宋体" w:cs="宋体" w:hint="eastAsia"/>
          <w:szCs w:val="21"/>
        </w:rPr>
        <w:t>，以贵州茅台、伊利股份和五粮液为代表的7家企业商标品牌价值上升，榜单整体呈上升趋势。</w:t>
      </w:r>
      <w:r w:rsidRPr="00D5636E">
        <w:rPr>
          <w:rFonts w:ascii="宋体" w:eastAsia="宋体" w:hAnsi="宋体" w:cs="宋体" w:hint="eastAsia"/>
          <w:kern w:val="0"/>
          <w:szCs w:val="21"/>
        </w:rPr>
        <w:t>其中，</w:t>
      </w:r>
      <w:r w:rsidRPr="00D5636E">
        <w:rPr>
          <w:rFonts w:ascii="宋体" w:eastAsia="宋体" w:hAnsi="宋体" w:cs="宋体" w:hint="eastAsia"/>
          <w:szCs w:val="21"/>
        </w:rPr>
        <w:t>贵州茅台公司商标品牌价值同比增长幅度最大，同比上涨</w:t>
      </w:r>
      <w:r w:rsidRPr="00D5636E">
        <w:rPr>
          <w:rFonts w:ascii="宋体" w:eastAsia="宋体" w:hAnsi="宋体" w:cs="宋体"/>
          <w:szCs w:val="21"/>
        </w:rPr>
        <w:t>101.70</w:t>
      </w:r>
      <w:r w:rsidRPr="00D5636E">
        <w:rPr>
          <w:rFonts w:ascii="宋体" w:eastAsia="宋体" w:hAnsi="宋体" w:cs="宋体" w:hint="eastAsia"/>
          <w:szCs w:val="21"/>
        </w:rPr>
        <w:t>亿元；五粮液商标品牌价值增长速度最快，同比增长</w:t>
      </w:r>
      <w:r w:rsidRPr="00D5636E">
        <w:rPr>
          <w:rFonts w:ascii="宋体" w:eastAsia="宋体" w:hAnsi="宋体" w:cs="宋体"/>
          <w:szCs w:val="21"/>
        </w:rPr>
        <w:t>40.57%</w:t>
      </w:r>
      <w:r w:rsidRPr="00D5636E">
        <w:rPr>
          <w:rFonts w:ascii="宋体" w:eastAsia="宋体" w:hAnsi="宋体" w:cs="宋体" w:hint="eastAsia"/>
          <w:szCs w:val="21"/>
        </w:rPr>
        <w:t>。榜单中有七家酒精饮料企业，一家乳制品生产企业，一家肉制品企业和一家调味品企业。</w:t>
      </w: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hint="eastAsia"/>
          <w:szCs w:val="21"/>
        </w:rPr>
        <w:t>贵州茅台、伊利股份、五粮液、双汇发展、青岛啤酒、洋河股份和张裕</w:t>
      </w:r>
      <w:r w:rsidRPr="00D5636E">
        <w:rPr>
          <w:rFonts w:ascii="宋体" w:eastAsia="宋体" w:hAnsi="宋体" w:cs="宋体"/>
          <w:szCs w:val="21"/>
        </w:rPr>
        <w:t>A</w:t>
      </w:r>
      <w:r w:rsidRPr="00D5636E">
        <w:rPr>
          <w:rFonts w:ascii="宋体" w:eastAsia="宋体" w:hAnsi="宋体" w:cs="宋体" w:hint="eastAsia"/>
          <w:szCs w:val="21"/>
        </w:rPr>
        <w:t>，在</w:t>
      </w:r>
      <w:r w:rsidRPr="00D5636E">
        <w:rPr>
          <w:rFonts w:ascii="宋体" w:eastAsia="宋体" w:hAnsi="宋体" w:cs="宋体"/>
          <w:szCs w:val="21"/>
        </w:rPr>
        <w:t>2016</w:t>
      </w:r>
      <w:r w:rsidRPr="00D5636E">
        <w:rPr>
          <w:rFonts w:ascii="宋体" w:eastAsia="宋体" w:hAnsi="宋体" w:cs="宋体" w:hint="eastAsia"/>
          <w:szCs w:val="21"/>
        </w:rPr>
        <w:t>年度至</w:t>
      </w:r>
      <w:r w:rsidRPr="00D5636E">
        <w:rPr>
          <w:rFonts w:ascii="宋体" w:eastAsia="宋体" w:hAnsi="宋体" w:cs="宋体"/>
          <w:szCs w:val="21"/>
        </w:rPr>
        <w:t>2017</w:t>
      </w:r>
      <w:r w:rsidRPr="00D5636E">
        <w:rPr>
          <w:rFonts w:ascii="宋体" w:eastAsia="宋体" w:hAnsi="宋体" w:cs="宋体" w:hint="eastAsia"/>
          <w:szCs w:val="21"/>
        </w:rPr>
        <w:t>年度分榜排名中序位不变，仍然分别占据排名第一名至第七名；</w:t>
      </w:r>
      <w:r w:rsidRPr="00D5636E">
        <w:rPr>
          <w:rFonts w:ascii="宋体" w:eastAsia="宋体" w:hAnsi="宋体" w:cs="宋体" w:hint="eastAsia"/>
          <w:kern w:val="0"/>
          <w:szCs w:val="21"/>
        </w:rPr>
        <w:t>海天味业</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排名第九，</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晋级第八</w:t>
      </w:r>
      <w:r w:rsidRPr="00D5636E">
        <w:rPr>
          <w:rFonts w:ascii="宋体" w:eastAsia="宋体" w:hAnsi="宋体" w:cs="宋体" w:hint="eastAsia"/>
          <w:szCs w:val="21"/>
        </w:rPr>
        <w:t>名</w:t>
      </w:r>
      <w:r w:rsidRPr="00D5636E">
        <w:rPr>
          <w:rFonts w:ascii="宋体" w:eastAsia="宋体" w:hAnsi="宋体" w:cs="宋体" w:hint="eastAsia"/>
          <w:kern w:val="0"/>
          <w:szCs w:val="21"/>
        </w:rPr>
        <w:t>；</w:t>
      </w:r>
      <w:r w:rsidRPr="00D5636E">
        <w:rPr>
          <w:rFonts w:ascii="宋体" w:eastAsia="宋体" w:hAnsi="宋体" w:cs="宋体" w:hint="eastAsia"/>
          <w:szCs w:val="21"/>
        </w:rPr>
        <w:t>泸州老窖首次进入</w:t>
      </w:r>
      <w:r w:rsidRPr="00D5636E">
        <w:rPr>
          <w:rFonts w:ascii="宋体" w:eastAsia="宋体" w:hAnsi="宋体" w:cs="宋体"/>
          <w:szCs w:val="21"/>
        </w:rPr>
        <w:t>2017</w:t>
      </w:r>
      <w:r w:rsidRPr="00D5636E">
        <w:rPr>
          <w:rFonts w:ascii="宋体" w:eastAsia="宋体" w:hAnsi="宋体" w:cs="宋体" w:hint="eastAsia"/>
          <w:szCs w:val="21"/>
        </w:rPr>
        <w:t>榜单，位居第九名；燕京啤酒</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排名</w:t>
      </w:r>
      <w:r w:rsidRPr="00D5636E">
        <w:rPr>
          <w:rFonts w:ascii="宋体" w:eastAsia="宋体" w:hAnsi="宋体" w:cs="宋体" w:hint="eastAsia"/>
          <w:szCs w:val="21"/>
        </w:rPr>
        <w:t>第十名。</w:t>
      </w:r>
      <w:r w:rsidRPr="00D5636E">
        <w:rPr>
          <w:rFonts w:ascii="宋体" w:eastAsia="宋体" w:hAnsi="宋体" w:cs="宋体"/>
          <w:kern w:val="0"/>
          <w:szCs w:val="21"/>
        </w:rPr>
        <w:t>2017</w:t>
      </w:r>
      <w:r w:rsidRPr="00D5636E">
        <w:rPr>
          <w:rFonts w:ascii="宋体" w:eastAsia="宋体" w:hAnsi="宋体" w:cs="宋体" w:hint="eastAsia"/>
          <w:szCs w:val="21"/>
        </w:rPr>
        <w:t>年度上榜企业及其名次整体趋</w:t>
      </w:r>
      <w:r w:rsidRPr="00D5636E">
        <w:rPr>
          <w:rFonts w:ascii="宋体" w:eastAsia="宋体" w:hAnsi="宋体" w:cs="宋体" w:hint="eastAsia"/>
          <w:kern w:val="0"/>
          <w:szCs w:val="21"/>
        </w:rPr>
        <w:t>稳。</w:t>
      </w:r>
    </w:p>
    <w:p w:rsidR="0082679C" w:rsidRPr="00D5636E" w:rsidRDefault="00B435E0">
      <w:pPr>
        <w:spacing w:line="300" w:lineRule="auto"/>
        <w:ind w:firstLineChars="200" w:firstLine="420"/>
        <w:rPr>
          <w:rFonts w:ascii="宋体" w:eastAsia="宋体" w:hAnsi="宋体" w:cs="Times New Roman"/>
          <w:kern w:val="0"/>
          <w:szCs w:val="21"/>
        </w:rPr>
      </w:pPr>
      <w:r w:rsidRPr="00D5636E">
        <w:rPr>
          <w:rFonts w:ascii="宋体" w:eastAsia="宋体" w:hAnsi="宋体" w:cs="宋体" w:hint="eastAsia"/>
          <w:kern w:val="0"/>
          <w:szCs w:val="21"/>
        </w:rPr>
        <w:t>食品饮料行业中企业商标品牌价值集中度很高，排名前三的企业商标品牌价值总值占上榜企业商标品牌价值总额比重为</w:t>
      </w:r>
      <w:r w:rsidRPr="00D5636E">
        <w:rPr>
          <w:rFonts w:ascii="宋体" w:eastAsia="宋体" w:hAnsi="宋体" w:cs="宋体"/>
          <w:kern w:val="0"/>
          <w:szCs w:val="21"/>
        </w:rPr>
        <w:t>61.12%</w:t>
      </w:r>
      <w:r w:rsidRPr="00D5636E">
        <w:rPr>
          <w:rFonts w:ascii="宋体" w:eastAsia="宋体" w:hAnsi="宋体" w:cs="宋体" w:hint="eastAsia"/>
          <w:kern w:val="0"/>
          <w:szCs w:val="21"/>
        </w:rPr>
        <w:t>，上榜企业商标品牌价值总额占对应上市公司市值总额的比重为</w:t>
      </w:r>
      <w:r w:rsidRPr="00D5636E">
        <w:rPr>
          <w:rFonts w:ascii="宋体" w:eastAsia="宋体" w:hAnsi="宋体" w:cs="宋体"/>
          <w:kern w:val="0"/>
          <w:szCs w:val="21"/>
        </w:rPr>
        <w:t>19.06%</w:t>
      </w:r>
      <w:r w:rsidRPr="00D5636E">
        <w:rPr>
          <w:rFonts w:ascii="宋体" w:eastAsia="宋体" w:hAnsi="宋体" w:cs="宋体" w:hint="eastAsia"/>
          <w:kern w:val="0"/>
          <w:szCs w:val="21"/>
        </w:rPr>
        <w:t>。大部分上榜食品企业总资产报酬率超过行业平均水平。</w:t>
      </w:r>
    </w:p>
    <w:p w:rsidR="0082679C" w:rsidRDefault="0082679C">
      <w:pPr>
        <w:jc w:val="center"/>
        <w:rPr>
          <w:rFonts w:ascii="宋体" w:cs="Times New Roman"/>
        </w:rPr>
      </w:pPr>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医药制造分榜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年医药制造行业商标品牌价值排行</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707"/>
        <w:gridCol w:w="4062"/>
        <w:gridCol w:w="1709"/>
      </w:tblGrid>
      <w:tr w:rsidR="0082679C">
        <w:trPr>
          <w:trHeight w:val="800"/>
          <w:jc w:val="center"/>
        </w:trPr>
        <w:tc>
          <w:tcPr>
            <w:tcW w:w="818" w:type="dxa"/>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769" w:type="dxa"/>
            <w:gridSpan w:val="2"/>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1709" w:type="dxa"/>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w:t>
            </w:r>
            <w:r>
              <w:rPr>
                <w:rFonts w:ascii="宋体" w:eastAsia="宋体" w:hAnsi="宋体" w:cs="Times New Roman"/>
                <w:b/>
                <w:bCs/>
                <w:kern w:val="0"/>
              </w:rPr>
              <w:br/>
            </w:r>
            <w:r>
              <w:rPr>
                <w:rFonts w:ascii="宋体" w:eastAsia="宋体" w:hAnsi="宋体" w:cs="宋体" w:hint="eastAsia"/>
                <w:b/>
                <w:bCs/>
                <w:kern w:val="0"/>
              </w:rPr>
              <w:t>（亿元）</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恒瑞医药</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96265" cy="365760"/>
                  <wp:effectExtent l="0" t="0" r="13335" b="0"/>
                  <wp:docPr id="1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1"/>
                          <pic:cNvPicPr>
                            <a:picLocks noChangeAspect="1"/>
                          </pic:cNvPicPr>
                        </pic:nvPicPr>
                        <pic:blipFill>
                          <a:blip r:embed="rId68"/>
                          <a:stretch>
                            <a:fillRect/>
                          </a:stretch>
                        </pic:blipFill>
                        <pic:spPr>
                          <a:xfrm>
                            <a:off x="0" y="0"/>
                            <a:ext cx="596265" cy="36576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208.59</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云南白药</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278130" cy="349885"/>
                  <wp:effectExtent l="0" t="0" r="11430" b="635"/>
                  <wp:docPr id="1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2"/>
                          <pic:cNvPicPr>
                            <a:picLocks noChangeAspect="1"/>
                          </pic:cNvPicPr>
                        </pic:nvPicPr>
                        <pic:blipFill>
                          <a:blip r:embed="rId144"/>
                          <a:stretch>
                            <a:fillRect/>
                          </a:stretch>
                        </pic:blipFill>
                        <pic:spPr>
                          <a:xfrm>
                            <a:off x="0" y="0"/>
                            <a:ext cx="278130" cy="349885"/>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199.07</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康美药业</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431290" cy="357505"/>
                  <wp:effectExtent l="0" t="0" r="1270" b="8255"/>
                  <wp:docPr id="1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3"/>
                          <pic:cNvPicPr>
                            <a:picLocks noChangeAspect="1"/>
                          </pic:cNvPicPr>
                        </pic:nvPicPr>
                        <pic:blipFill>
                          <a:blip r:embed="rId79"/>
                          <a:stretch>
                            <a:fillRect/>
                          </a:stretch>
                        </pic:blipFill>
                        <pic:spPr>
                          <a:xfrm>
                            <a:off x="0" y="0"/>
                            <a:ext cx="1431290" cy="357505"/>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183.62</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东阿阿胶</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302260" cy="365760"/>
                  <wp:effectExtent l="0" t="0" r="2540" b="0"/>
                  <wp:docPr id="1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4"/>
                          <pic:cNvPicPr>
                            <a:picLocks noChangeAspect="1"/>
                          </pic:cNvPicPr>
                        </pic:nvPicPr>
                        <pic:blipFill>
                          <a:blip r:embed="rId105"/>
                          <a:stretch>
                            <a:fillRect/>
                          </a:stretch>
                        </pic:blipFill>
                        <pic:spPr>
                          <a:xfrm>
                            <a:off x="0" y="0"/>
                            <a:ext cx="302260" cy="36576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119.72</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lastRenderedPageBreak/>
              <w:t>5</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复星医药</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105535" cy="365760"/>
                  <wp:effectExtent l="0" t="0" r="6985" b="0"/>
                  <wp:docPr id="1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5"/>
                          <pic:cNvPicPr>
                            <a:picLocks noChangeAspect="1"/>
                          </pic:cNvPicPr>
                        </pic:nvPicPr>
                        <pic:blipFill>
                          <a:blip r:embed="rId108"/>
                          <a:stretch>
                            <a:fillRect/>
                          </a:stretch>
                        </pic:blipFill>
                        <pic:spPr>
                          <a:xfrm>
                            <a:off x="0" y="0"/>
                            <a:ext cx="1105535" cy="36576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115.65</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天士力</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699770" cy="365760"/>
                  <wp:effectExtent l="0" t="0" r="1270" b="0"/>
                  <wp:docPr id="17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6"/>
                          <pic:cNvPicPr>
                            <a:picLocks noChangeAspect="1"/>
                          </pic:cNvPicPr>
                        </pic:nvPicPr>
                        <pic:blipFill>
                          <a:blip r:embed="rId145"/>
                          <a:stretch>
                            <a:fillRect/>
                          </a:stretch>
                        </pic:blipFill>
                        <pic:spPr>
                          <a:xfrm>
                            <a:off x="0" y="0"/>
                            <a:ext cx="699770" cy="36576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100.06</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信立泰</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749425" cy="357505"/>
                  <wp:effectExtent l="0" t="0" r="3175" b="8255"/>
                  <wp:docPr id="1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7"/>
                          <pic:cNvPicPr>
                            <a:picLocks noChangeAspect="1"/>
                          </pic:cNvPicPr>
                        </pic:nvPicPr>
                        <pic:blipFill>
                          <a:blip r:embed="rId146"/>
                          <a:stretch>
                            <a:fillRect/>
                          </a:stretch>
                        </pic:blipFill>
                        <pic:spPr>
                          <a:xfrm>
                            <a:off x="0" y="0"/>
                            <a:ext cx="1749425" cy="357505"/>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78.92</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上海莱士</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550670" cy="365760"/>
                  <wp:effectExtent l="0" t="0" r="3810" b="0"/>
                  <wp:docPr id="1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8"/>
                          <pic:cNvPicPr>
                            <a:picLocks noChangeAspect="1"/>
                          </pic:cNvPicPr>
                        </pic:nvPicPr>
                        <pic:blipFill>
                          <a:blip r:embed="rId147"/>
                          <a:stretch>
                            <a:fillRect/>
                          </a:stretch>
                        </pic:blipFill>
                        <pic:spPr>
                          <a:xfrm>
                            <a:off x="0" y="0"/>
                            <a:ext cx="1550670" cy="36576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77.52</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白云山</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31520" cy="349885"/>
                  <wp:effectExtent l="0" t="0" r="0" b="635"/>
                  <wp:docPr id="17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9"/>
                          <pic:cNvPicPr>
                            <a:picLocks noChangeAspect="1"/>
                          </pic:cNvPicPr>
                        </pic:nvPicPr>
                        <pic:blipFill>
                          <a:blip r:embed="rId148"/>
                          <a:stretch>
                            <a:fillRect/>
                          </a:stretch>
                        </pic:blipFill>
                        <pic:spPr>
                          <a:xfrm>
                            <a:off x="0" y="0"/>
                            <a:ext cx="731520" cy="349885"/>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77.19</w:t>
            </w:r>
          </w:p>
        </w:tc>
      </w:tr>
      <w:tr w:rsidR="0082679C">
        <w:trPr>
          <w:trHeight w:val="567"/>
          <w:jc w:val="center"/>
        </w:trPr>
        <w:tc>
          <w:tcPr>
            <w:tcW w:w="818"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07" w:type="dxa"/>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必康股份</w:t>
            </w:r>
          </w:p>
        </w:tc>
        <w:tc>
          <w:tcPr>
            <w:tcW w:w="4062" w:type="dxa"/>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80390" cy="341630"/>
                  <wp:effectExtent l="0" t="0" r="13970" b="8890"/>
                  <wp:docPr id="1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0"/>
                          <pic:cNvPicPr>
                            <a:picLocks noChangeAspect="1"/>
                          </pic:cNvPicPr>
                        </pic:nvPicPr>
                        <pic:blipFill>
                          <a:blip r:embed="rId149"/>
                          <a:stretch>
                            <a:fillRect/>
                          </a:stretch>
                        </pic:blipFill>
                        <pic:spPr>
                          <a:xfrm>
                            <a:off x="0" y="0"/>
                            <a:ext cx="580390" cy="341630"/>
                          </a:xfrm>
                          <a:prstGeom prst="rect">
                            <a:avLst/>
                          </a:prstGeom>
                          <a:noFill/>
                          <a:ln w="9525">
                            <a:noFill/>
                          </a:ln>
                        </pic:spPr>
                      </pic:pic>
                    </a:graphicData>
                  </a:graphic>
                </wp:inline>
              </w:drawing>
            </w:r>
          </w:p>
        </w:tc>
        <w:tc>
          <w:tcPr>
            <w:tcW w:w="1709" w:type="dxa"/>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68.86</w:t>
            </w:r>
          </w:p>
        </w:tc>
      </w:tr>
    </w:tbl>
    <w:p w:rsidR="0082679C" w:rsidRDefault="0082679C">
      <w:pPr>
        <w:jc w:val="center"/>
        <w:rPr>
          <w:rFonts w:ascii="宋体" w:eastAsia="宋体" w:hAnsi="宋体" w:cs="Times New Roman"/>
        </w:rPr>
      </w:pPr>
    </w:p>
    <w:p w:rsidR="0082679C" w:rsidRDefault="00B435E0">
      <w:pPr>
        <w:spacing w:line="300" w:lineRule="auto"/>
        <w:ind w:firstLineChars="200" w:firstLine="420"/>
        <w:rPr>
          <w:rFonts w:ascii="宋体" w:eastAsia="宋体" w:hAnsi="宋体" w:cs="Times New Roman"/>
        </w:rPr>
      </w:pPr>
      <w:r>
        <w:rPr>
          <w:rFonts w:ascii="宋体" w:eastAsia="宋体" w:hAnsi="宋体" w:cs="宋体"/>
        </w:rPr>
        <w:t>2017</w:t>
      </w:r>
      <w:r>
        <w:rPr>
          <w:rFonts w:ascii="宋体" w:eastAsia="宋体" w:hAnsi="宋体" w:cs="宋体" w:hint="eastAsia"/>
        </w:rPr>
        <w:t>沪深上市公司商标品牌价值排行榜医药制造分榜中，恒瑞医药等七家上榜企业商标品牌价值均同步上升，十家上榜企业商标品牌价值总额为</w:t>
      </w:r>
      <w:r>
        <w:rPr>
          <w:rFonts w:ascii="宋体" w:eastAsia="宋体" w:hAnsi="宋体" w:cs="宋体"/>
        </w:rPr>
        <w:t>1,229.2</w:t>
      </w:r>
      <w:r>
        <w:rPr>
          <w:rFonts w:ascii="宋体" w:eastAsia="宋体" w:hAnsi="宋体" w:cs="宋体" w:hint="eastAsia"/>
        </w:rPr>
        <w:t>亿元，较</w:t>
      </w:r>
      <w:r>
        <w:rPr>
          <w:rFonts w:ascii="宋体" w:eastAsia="宋体" w:hAnsi="宋体" w:cs="宋体"/>
        </w:rPr>
        <w:t>2016</w:t>
      </w:r>
      <w:r>
        <w:rPr>
          <w:rFonts w:ascii="宋体" w:eastAsia="宋体" w:hAnsi="宋体" w:cs="宋体" w:hint="eastAsia"/>
        </w:rPr>
        <w:t>榜单同比上升</w:t>
      </w:r>
      <w:r>
        <w:rPr>
          <w:rFonts w:ascii="宋体" w:eastAsia="宋体" w:hAnsi="宋体" w:cs="宋体"/>
        </w:rPr>
        <w:t>14.41%</w:t>
      </w:r>
      <w:r>
        <w:rPr>
          <w:rFonts w:ascii="宋体" w:eastAsia="宋体" w:hAnsi="宋体" w:cs="宋体" w:hint="eastAsia"/>
        </w:rPr>
        <w:t>，整体呈上升趋势。其中，恒瑞医药、云南白药和康美药业组成第一梯队，其商标品牌价值均超过</w:t>
      </w:r>
      <w:r>
        <w:rPr>
          <w:rFonts w:ascii="宋体" w:eastAsia="宋体" w:hAnsi="宋体" w:cs="宋体"/>
        </w:rPr>
        <w:t>180</w:t>
      </w:r>
      <w:r>
        <w:rPr>
          <w:rFonts w:ascii="宋体" w:eastAsia="宋体" w:hAnsi="宋体" w:cs="宋体" w:hint="eastAsia"/>
        </w:rPr>
        <w:t>亿元，恒瑞医药商标品牌价值增长最多，达</w:t>
      </w:r>
      <w:r>
        <w:rPr>
          <w:rFonts w:ascii="宋体" w:eastAsia="宋体" w:hAnsi="宋体" w:cs="宋体"/>
        </w:rPr>
        <w:t>34.22</w:t>
      </w:r>
      <w:r>
        <w:rPr>
          <w:rFonts w:ascii="宋体" w:eastAsia="宋体" w:hAnsi="宋体" w:cs="宋体" w:hint="eastAsia"/>
        </w:rPr>
        <w:t>亿元，东阿阿胶增长幅度最大，同比增长</w:t>
      </w:r>
      <w:r>
        <w:rPr>
          <w:rFonts w:ascii="宋体" w:eastAsia="宋体" w:hAnsi="宋体" w:cs="宋体"/>
        </w:rPr>
        <w:t>31.64%</w:t>
      </w:r>
      <w:r>
        <w:rPr>
          <w:rFonts w:ascii="宋体" w:eastAsia="宋体" w:hAnsi="宋体" w:cs="宋体" w:hint="eastAsia"/>
        </w:rPr>
        <w:t>。</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康美药业、天力士、白云山，在</w:t>
      </w:r>
      <w:r>
        <w:rPr>
          <w:rFonts w:ascii="宋体" w:eastAsia="宋体" w:hAnsi="宋体" w:cs="宋体"/>
        </w:rPr>
        <w:t>2016</w:t>
      </w:r>
      <w:r>
        <w:rPr>
          <w:rFonts w:ascii="宋体" w:eastAsia="宋体" w:hAnsi="宋体" w:cs="宋体" w:hint="eastAsia"/>
        </w:rPr>
        <w:t>年度至</w:t>
      </w:r>
      <w:r>
        <w:rPr>
          <w:rFonts w:ascii="宋体" w:eastAsia="宋体" w:hAnsi="宋体" w:cs="宋体"/>
        </w:rPr>
        <w:t>2017</w:t>
      </w:r>
      <w:r>
        <w:rPr>
          <w:rFonts w:ascii="宋体" w:eastAsia="宋体" w:hAnsi="宋体" w:cs="宋体" w:hint="eastAsia"/>
        </w:rPr>
        <w:t>年度分榜排名中序位不变，仍然分别占据排名第三名、第六名和第九名；恒瑞医药</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排名第二，</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晋级第一</w:t>
      </w:r>
      <w:r>
        <w:rPr>
          <w:rFonts w:ascii="宋体" w:eastAsia="宋体" w:hAnsi="宋体" w:cs="宋体" w:hint="eastAsia"/>
        </w:rPr>
        <w:t>名，东阿阿胶</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排名第五，</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晋级第四</w:t>
      </w:r>
      <w:r>
        <w:rPr>
          <w:rFonts w:ascii="宋体" w:eastAsia="宋体" w:hAnsi="宋体" w:cs="宋体" w:hint="eastAsia"/>
        </w:rPr>
        <w:t>名，信立泰</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排名第十，</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晋级第七</w:t>
      </w:r>
      <w:r>
        <w:rPr>
          <w:rFonts w:ascii="宋体" w:eastAsia="宋体" w:hAnsi="宋体" w:cs="宋体" w:hint="eastAsia"/>
        </w:rPr>
        <w:t>名</w:t>
      </w:r>
      <w:r>
        <w:rPr>
          <w:rFonts w:ascii="宋体" w:eastAsia="宋体" w:hAnsi="宋体" w:cs="宋体" w:hint="eastAsia"/>
          <w:kern w:val="0"/>
        </w:rPr>
        <w:t>；</w:t>
      </w:r>
      <w:r>
        <w:rPr>
          <w:rFonts w:ascii="宋体" w:eastAsia="宋体" w:hAnsi="宋体" w:cs="宋体" w:hint="eastAsia"/>
        </w:rPr>
        <w:t>上海莱士</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榜单，位居第八名，必康股份</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w:t>
      </w:r>
      <w:r>
        <w:rPr>
          <w:rFonts w:ascii="宋体" w:eastAsia="宋体" w:hAnsi="宋体" w:cs="宋体" w:hint="eastAsia"/>
          <w:kern w:val="0"/>
        </w:rPr>
        <w:t>排名</w:t>
      </w:r>
      <w:r>
        <w:rPr>
          <w:rFonts w:ascii="宋体" w:eastAsia="宋体" w:hAnsi="宋体" w:cs="宋体" w:hint="eastAsia"/>
        </w:rPr>
        <w:t>第十名；云南白药和复星医药</w:t>
      </w:r>
      <w:r>
        <w:rPr>
          <w:rFonts w:ascii="宋体" w:eastAsia="宋体" w:hAnsi="宋体" w:cs="宋体"/>
          <w:kern w:val="0"/>
        </w:rPr>
        <w:t>2017</w:t>
      </w:r>
      <w:r>
        <w:rPr>
          <w:rFonts w:ascii="宋体" w:eastAsia="宋体" w:hAnsi="宋体" w:cs="宋体" w:hint="eastAsia"/>
        </w:rPr>
        <w:t>年度分别</w:t>
      </w:r>
      <w:r>
        <w:rPr>
          <w:rFonts w:ascii="宋体" w:eastAsia="宋体" w:hAnsi="宋体" w:cs="宋体" w:hint="eastAsia"/>
          <w:kern w:val="0"/>
        </w:rPr>
        <w:t>排名</w:t>
      </w:r>
      <w:r>
        <w:rPr>
          <w:rFonts w:ascii="宋体" w:eastAsia="宋体" w:hAnsi="宋体" w:cs="宋体" w:hint="eastAsia"/>
        </w:rPr>
        <w:t>第二名和第五名。上榜企业及其名次变动较明显。</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kern w:val="0"/>
        </w:rPr>
        <w:t>医药制造行业中的企业商标商标品牌价值集中度很高，排名前三的企业商标品牌价值总值占上榜企业商标品牌价值总额比重为</w:t>
      </w:r>
      <w:r>
        <w:rPr>
          <w:rFonts w:ascii="宋体" w:eastAsia="宋体" w:hAnsi="宋体" w:cs="宋体"/>
        </w:rPr>
        <w:t>48.1%</w:t>
      </w:r>
      <w:r>
        <w:rPr>
          <w:rFonts w:ascii="宋体" w:eastAsia="宋体" w:hAnsi="宋体" w:cs="宋体" w:hint="eastAsia"/>
        </w:rPr>
        <w:t>，上榜企业商标品牌价值总额占市值总额比重为</w:t>
      </w:r>
      <w:r>
        <w:rPr>
          <w:rFonts w:ascii="宋体" w:eastAsia="宋体" w:hAnsi="宋体" w:cs="宋体"/>
        </w:rPr>
        <w:t>19.33%</w:t>
      </w:r>
      <w:r>
        <w:rPr>
          <w:rFonts w:ascii="宋体" w:eastAsia="宋体" w:hAnsi="宋体" w:cs="宋体" w:hint="eastAsia"/>
        </w:rPr>
        <w:t>。</w:t>
      </w:r>
      <w:r>
        <w:rPr>
          <w:rFonts w:ascii="宋体" w:eastAsia="宋体" w:hAnsi="宋体" w:cs="宋体" w:hint="eastAsia"/>
          <w:kern w:val="0"/>
        </w:rPr>
        <w:t>大部分上榜企业总资产报酬率超过行业平均水平。</w:t>
      </w:r>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智能制造分榜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年智能制造上市公司商标品牌价值排行</w:t>
      </w:r>
    </w:p>
    <w:tbl>
      <w:tblPr>
        <w:tblW w:w="8296" w:type="dxa"/>
        <w:jc w:val="center"/>
        <w:tblLayout w:type="fixed"/>
        <w:tblLook w:val="04A0" w:firstRow="1" w:lastRow="0" w:firstColumn="1" w:lastColumn="0" w:noHBand="0" w:noVBand="1"/>
      </w:tblPr>
      <w:tblGrid>
        <w:gridCol w:w="820"/>
        <w:gridCol w:w="1707"/>
        <w:gridCol w:w="3847"/>
        <w:gridCol w:w="1922"/>
      </w:tblGrid>
      <w:tr w:rsidR="0082679C">
        <w:trPr>
          <w:trHeight w:val="567"/>
          <w:jc w:val="center"/>
        </w:trPr>
        <w:tc>
          <w:tcPr>
            <w:tcW w:w="820"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554"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1922"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商标品牌价值（亿元）</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国电南瑞</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41400" cy="365760"/>
                  <wp:effectExtent l="0" t="0" r="10160" b="0"/>
                  <wp:docPr id="1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1"/>
                          <pic:cNvPicPr>
                            <a:picLocks noChangeAspect="1"/>
                          </pic:cNvPicPr>
                        </pic:nvPicPr>
                        <pic:blipFill>
                          <a:blip r:embed="rId150"/>
                          <a:stretch>
                            <a:fillRect/>
                          </a:stretch>
                        </pic:blipFill>
                        <pic:spPr>
                          <a:xfrm>
                            <a:off x="0" y="0"/>
                            <a:ext cx="104140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91.25</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长园集团</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399540" cy="365760"/>
                  <wp:effectExtent l="0" t="0" r="2540" b="0"/>
                  <wp:docPr id="1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2"/>
                          <pic:cNvPicPr>
                            <a:picLocks noChangeAspect="1"/>
                          </pic:cNvPicPr>
                        </pic:nvPicPr>
                        <pic:blipFill>
                          <a:blip r:embed="rId151"/>
                          <a:stretch>
                            <a:fillRect/>
                          </a:stretch>
                        </pic:blipFill>
                        <pic:spPr>
                          <a:xfrm>
                            <a:off x="0" y="0"/>
                            <a:ext cx="139954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56.86</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lastRenderedPageBreak/>
              <w:t>3</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紫光股份</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868805" cy="349885"/>
                  <wp:effectExtent l="0" t="0" r="5715" b="635"/>
                  <wp:docPr id="1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3"/>
                          <pic:cNvPicPr>
                            <a:picLocks noChangeAspect="1"/>
                          </pic:cNvPicPr>
                        </pic:nvPicPr>
                        <pic:blipFill>
                          <a:blip r:embed="rId152"/>
                          <a:stretch>
                            <a:fillRect/>
                          </a:stretch>
                        </pic:blipFill>
                        <pic:spPr>
                          <a:xfrm>
                            <a:off x="0" y="0"/>
                            <a:ext cx="1868805" cy="34988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55.49</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汇川技术</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485140" cy="365760"/>
                  <wp:effectExtent l="0" t="0" r="2540" b="0"/>
                  <wp:docPr id="18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4"/>
                          <pic:cNvPicPr>
                            <a:picLocks noChangeAspect="1"/>
                          </pic:cNvPicPr>
                        </pic:nvPicPr>
                        <pic:blipFill>
                          <a:blip r:embed="rId153"/>
                          <a:stretch>
                            <a:fillRect/>
                          </a:stretch>
                        </pic:blipFill>
                        <pic:spPr>
                          <a:xfrm>
                            <a:off x="0" y="0"/>
                            <a:ext cx="48514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50.11</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上海机电</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311910" cy="365760"/>
                  <wp:effectExtent l="0" t="0" r="13970" b="0"/>
                  <wp:docPr id="18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5"/>
                          <pic:cNvPicPr>
                            <a:picLocks noChangeAspect="1"/>
                          </pic:cNvPicPr>
                        </pic:nvPicPr>
                        <pic:blipFill>
                          <a:blip r:embed="rId154"/>
                          <a:stretch>
                            <a:fillRect/>
                          </a:stretch>
                        </pic:blipFill>
                        <pic:spPr>
                          <a:xfrm>
                            <a:off x="0" y="0"/>
                            <a:ext cx="131191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47.58</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大族激光</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866775" cy="365760"/>
                  <wp:effectExtent l="0" t="0" r="1905" b="0"/>
                  <wp:docPr id="18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6"/>
                          <pic:cNvPicPr>
                            <a:picLocks noChangeAspect="1"/>
                          </pic:cNvPicPr>
                        </pic:nvPicPr>
                        <pic:blipFill>
                          <a:blip r:embed="rId155"/>
                          <a:stretch>
                            <a:fillRect/>
                          </a:stretch>
                        </pic:blipFill>
                        <pic:spPr>
                          <a:xfrm>
                            <a:off x="0" y="0"/>
                            <a:ext cx="866775"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44.57</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华天科技</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254635" cy="349885"/>
                  <wp:effectExtent l="0" t="0" r="4445" b="635"/>
                  <wp:docPr id="18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7"/>
                          <pic:cNvPicPr>
                            <a:picLocks noChangeAspect="1"/>
                          </pic:cNvPicPr>
                        </pic:nvPicPr>
                        <pic:blipFill>
                          <a:blip r:embed="rId156"/>
                          <a:stretch>
                            <a:fillRect/>
                          </a:stretch>
                        </pic:blipFill>
                        <pic:spPr>
                          <a:xfrm>
                            <a:off x="0" y="0"/>
                            <a:ext cx="254635" cy="34988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38.17</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均胜电子</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954405" cy="349885"/>
                  <wp:effectExtent l="0" t="0" r="5715" b="635"/>
                  <wp:docPr id="18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8"/>
                          <pic:cNvPicPr>
                            <a:picLocks noChangeAspect="1"/>
                          </pic:cNvPicPr>
                        </pic:nvPicPr>
                        <pic:blipFill>
                          <a:blip r:embed="rId157"/>
                          <a:stretch>
                            <a:fillRect/>
                          </a:stretch>
                        </pic:blipFill>
                        <pic:spPr>
                          <a:xfrm>
                            <a:off x="0" y="0"/>
                            <a:ext cx="954405" cy="349885"/>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36.69</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用友网络</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32765" cy="365760"/>
                  <wp:effectExtent l="0" t="0" r="635" b="0"/>
                  <wp:docPr id="18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9"/>
                          <pic:cNvPicPr>
                            <a:picLocks noChangeAspect="1"/>
                          </pic:cNvPicPr>
                        </pic:nvPicPr>
                        <pic:blipFill>
                          <a:blip r:embed="rId158"/>
                          <a:stretch>
                            <a:fillRect/>
                          </a:stretch>
                        </pic:blipFill>
                        <pic:spPr>
                          <a:xfrm>
                            <a:off x="0" y="0"/>
                            <a:ext cx="532765"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32.21</w:t>
            </w:r>
          </w:p>
        </w:tc>
      </w:tr>
      <w:tr w:rsidR="0082679C">
        <w:trPr>
          <w:trHeight w:val="196"/>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浪潮信息</w:t>
            </w:r>
          </w:p>
        </w:tc>
        <w:tc>
          <w:tcPr>
            <w:tcW w:w="3847"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526540" cy="365760"/>
                  <wp:effectExtent l="0" t="0" r="12700" b="0"/>
                  <wp:docPr id="18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0"/>
                          <pic:cNvPicPr>
                            <a:picLocks noChangeAspect="1"/>
                          </pic:cNvPicPr>
                        </pic:nvPicPr>
                        <pic:blipFill>
                          <a:blip r:embed="rId159"/>
                          <a:stretch>
                            <a:fillRect/>
                          </a:stretch>
                        </pic:blipFill>
                        <pic:spPr>
                          <a:xfrm>
                            <a:off x="0" y="0"/>
                            <a:ext cx="1526540" cy="365760"/>
                          </a:xfrm>
                          <a:prstGeom prst="rect">
                            <a:avLst/>
                          </a:prstGeom>
                          <a:noFill/>
                          <a:ln w="9525">
                            <a:noFill/>
                          </a:ln>
                        </pic:spPr>
                      </pic:pic>
                    </a:graphicData>
                  </a:graphic>
                </wp:inline>
              </w:drawing>
            </w:r>
          </w:p>
        </w:tc>
        <w:tc>
          <w:tcPr>
            <w:tcW w:w="192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27.73</w:t>
            </w:r>
          </w:p>
        </w:tc>
      </w:tr>
    </w:tbl>
    <w:p w:rsidR="0082679C" w:rsidRDefault="0082679C">
      <w:pPr>
        <w:spacing w:line="300" w:lineRule="auto"/>
        <w:ind w:firstLineChars="200" w:firstLine="420"/>
        <w:rPr>
          <w:rFonts w:ascii="宋体" w:eastAsia="宋体" w:hAnsi="宋体" w:cs="宋体"/>
        </w:rPr>
      </w:pPr>
    </w:p>
    <w:p w:rsidR="0082679C" w:rsidRDefault="00B435E0">
      <w:pPr>
        <w:spacing w:line="300" w:lineRule="auto"/>
        <w:ind w:firstLineChars="200" w:firstLine="420"/>
        <w:rPr>
          <w:rFonts w:ascii="宋体" w:eastAsia="宋体" w:hAnsi="宋体" w:cs="Times New Roman"/>
        </w:rPr>
      </w:pPr>
      <w:r>
        <w:rPr>
          <w:rFonts w:ascii="宋体" w:eastAsia="宋体" w:hAnsi="宋体" w:cs="宋体"/>
        </w:rPr>
        <w:t>2017</w:t>
      </w:r>
      <w:r>
        <w:rPr>
          <w:rFonts w:ascii="宋体" w:eastAsia="宋体" w:hAnsi="宋体" w:cs="宋体" w:hint="eastAsia"/>
        </w:rPr>
        <w:t>沪深上市公司商标品牌价值排行榜智能制造分榜中，国电南瑞等七家上榜企业商标品牌价值同步上升，十家上榜企业商标品牌价值总额为</w:t>
      </w:r>
      <w:r>
        <w:rPr>
          <w:rFonts w:ascii="宋体" w:eastAsia="宋体" w:hAnsi="宋体" w:cs="宋体"/>
        </w:rPr>
        <w:t>480.67</w:t>
      </w:r>
      <w:r>
        <w:rPr>
          <w:rFonts w:ascii="宋体" w:eastAsia="宋体" w:hAnsi="宋体" w:cs="宋体" w:hint="eastAsia"/>
        </w:rPr>
        <w:t>亿元，较</w:t>
      </w:r>
      <w:r>
        <w:rPr>
          <w:rFonts w:ascii="宋体" w:eastAsia="宋体" w:hAnsi="宋体" w:cs="宋体"/>
        </w:rPr>
        <w:t>2016</w:t>
      </w:r>
      <w:r>
        <w:rPr>
          <w:rFonts w:ascii="宋体" w:eastAsia="宋体" w:hAnsi="宋体" w:cs="宋体" w:hint="eastAsia"/>
        </w:rPr>
        <w:t>榜单同比上升</w:t>
      </w:r>
      <w:r>
        <w:rPr>
          <w:rFonts w:ascii="宋体" w:eastAsia="宋体" w:hAnsi="宋体" w:cs="宋体"/>
        </w:rPr>
        <w:t>14.21%</w:t>
      </w:r>
      <w:r>
        <w:rPr>
          <w:rFonts w:ascii="宋体" w:eastAsia="宋体" w:hAnsi="宋体" w:cs="宋体" w:hint="eastAsia"/>
        </w:rPr>
        <w:t>，整体呈上升趋势。国电南瑞增长幅度最多，增长速度也最快，同比增长</w:t>
      </w:r>
      <w:r>
        <w:rPr>
          <w:rFonts w:ascii="宋体" w:eastAsia="宋体" w:hAnsi="宋体" w:cs="宋体"/>
        </w:rPr>
        <w:t>38.17</w:t>
      </w:r>
      <w:r>
        <w:rPr>
          <w:rFonts w:ascii="宋体" w:eastAsia="宋体" w:hAnsi="宋体" w:cs="宋体" w:hint="eastAsia"/>
        </w:rPr>
        <w:t>亿元，增幅达</w:t>
      </w:r>
      <w:r>
        <w:rPr>
          <w:rFonts w:ascii="宋体" w:eastAsia="宋体" w:hAnsi="宋体" w:cs="宋体"/>
        </w:rPr>
        <w:t>71.91%</w:t>
      </w:r>
      <w:r>
        <w:rPr>
          <w:rFonts w:ascii="宋体" w:eastAsia="宋体" w:hAnsi="宋体" w:cs="宋体" w:hint="eastAsia"/>
        </w:rPr>
        <w:t>。</w:t>
      </w:r>
    </w:p>
    <w:p w:rsidR="0082679C" w:rsidRDefault="00B435E0">
      <w:pPr>
        <w:spacing w:line="300" w:lineRule="auto"/>
        <w:ind w:firstLineChars="200" w:firstLine="420"/>
        <w:rPr>
          <w:rFonts w:ascii="宋体" w:eastAsia="宋体" w:hAnsi="宋体" w:cs="Times New Roman"/>
          <w:kern w:val="0"/>
        </w:rPr>
      </w:pPr>
      <w:r>
        <w:rPr>
          <w:rFonts w:ascii="宋体" w:eastAsia="宋体" w:hAnsi="宋体" w:cs="宋体" w:hint="eastAsia"/>
          <w:kern w:val="0"/>
        </w:rPr>
        <w:t>长园集团、汇川技术和大族激光，在</w:t>
      </w:r>
      <w:r>
        <w:rPr>
          <w:rFonts w:ascii="宋体" w:eastAsia="宋体" w:hAnsi="宋体" w:cs="宋体"/>
        </w:rPr>
        <w:t>2016</w:t>
      </w:r>
      <w:r>
        <w:rPr>
          <w:rFonts w:ascii="宋体" w:eastAsia="宋体" w:hAnsi="宋体" w:cs="宋体" w:hint="eastAsia"/>
        </w:rPr>
        <w:t>年度至</w:t>
      </w:r>
      <w:r>
        <w:rPr>
          <w:rFonts w:ascii="宋体" w:eastAsia="宋体" w:hAnsi="宋体" w:cs="宋体"/>
        </w:rPr>
        <w:t>2017</w:t>
      </w:r>
      <w:r>
        <w:rPr>
          <w:rFonts w:ascii="宋体" w:eastAsia="宋体" w:hAnsi="宋体" w:cs="宋体" w:hint="eastAsia"/>
        </w:rPr>
        <w:t>年度分榜排名中序位不变，仍然分别占据排名第二名、第四名和第六名；国电南瑞</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排名第三，</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w:t>
      </w:r>
      <w:r>
        <w:rPr>
          <w:rFonts w:ascii="宋体" w:eastAsia="宋体" w:hAnsi="宋体" w:cs="宋体" w:hint="eastAsia"/>
        </w:rPr>
        <w:t>榜首</w:t>
      </w:r>
      <w:r>
        <w:rPr>
          <w:rFonts w:ascii="宋体" w:eastAsia="宋体" w:hAnsi="宋体" w:cs="宋体" w:hint="eastAsia"/>
          <w:kern w:val="0"/>
        </w:rPr>
        <w:t>，上海机电</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排名第七，</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晋级第五</w:t>
      </w:r>
      <w:r>
        <w:rPr>
          <w:rFonts w:ascii="宋体" w:eastAsia="宋体" w:hAnsi="宋体" w:cs="宋体" w:hint="eastAsia"/>
        </w:rPr>
        <w:t>名，华天科技</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排名第八，</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晋级第七</w:t>
      </w:r>
      <w:r>
        <w:rPr>
          <w:rFonts w:ascii="宋体" w:eastAsia="宋体" w:hAnsi="宋体" w:cs="宋体" w:hint="eastAsia"/>
        </w:rPr>
        <w:t>名，均胜电子</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排名第十</w:t>
      </w:r>
      <w:r>
        <w:rPr>
          <w:rFonts w:ascii="宋体" w:eastAsia="宋体" w:hAnsi="宋体" w:cs="宋体" w:hint="eastAsia"/>
        </w:rPr>
        <w:t>名，</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晋级第八</w:t>
      </w:r>
      <w:r>
        <w:rPr>
          <w:rFonts w:ascii="宋体" w:eastAsia="宋体" w:hAnsi="宋体" w:cs="宋体" w:hint="eastAsia"/>
        </w:rPr>
        <w:t>名</w:t>
      </w:r>
      <w:r>
        <w:rPr>
          <w:rFonts w:ascii="宋体" w:eastAsia="宋体" w:hAnsi="宋体" w:cs="宋体" w:hint="eastAsia"/>
          <w:kern w:val="0"/>
        </w:rPr>
        <w:t>；紫光股份、</w:t>
      </w:r>
      <w:r>
        <w:rPr>
          <w:rFonts w:ascii="宋体" w:eastAsia="宋体" w:hAnsi="宋体" w:cs="宋体" w:hint="eastAsia"/>
        </w:rPr>
        <w:t>用友网络、浪潮信息</w:t>
      </w:r>
      <w:r>
        <w:rPr>
          <w:rFonts w:ascii="宋体" w:eastAsia="宋体" w:hAnsi="宋体" w:cs="宋体"/>
          <w:kern w:val="0"/>
        </w:rPr>
        <w:t xml:space="preserve"> 2017</w:t>
      </w:r>
      <w:r>
        <w:rPr>
          <w:rFonts w:ascii="宋体" w:eastAsia="宋体" w:hAnsi="宋体" w:cs="宋体" w:hint="eastAsia"/>
        </w:rPr>
        <w:t>年度</w:t>
      </w:r>
      <w:r>
        <w:rPr>
          <w:rFonts w:ascii="宋体" w:eastAsia="宋体" w:hAnsi="宋体" w:cs="宋体" w:hint="eastAsia"/>
          <w:kern w:val="0"/>
        </w:rPr>
        <w:t>排</w:t>
      </w:r>
      <w:r>
        <w:rPr>
          <w:rFonts w:ascii="宋体" w:eastAsia="宋体" w:hAnsi="宋体" w:cs="宋体" w:hint="eastAsia"/>
        </w:rPr>
        <w:t>名分别第三名、第九名和第十名。上榜企业与去年相同但大部分企业名次发生明显变动。</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智能制造行业企业商标品牌价值集中度不高，国电南瑞商标品牌价值</w:t>
      </w:r>
      <w:r>
        <w:rPr>
          <w:rFonts w:ascii="宋体" w:eastAsia="宋体" w:hAnsi="宋体" w:cs="宋体"/>
        </w:rPr>
        <w:t>91.25</w:t>
      </w:r>
      <w:r>
        <w:rPr>
          <w:rFonts w:ascii="宋体" w:eastAsia="宋体" w:hAnsi="宋体" w:cs="宋体" w:hint="eastAsia"/>
        </w:rPr>
        <w:t>亿元，独占上榜企业商标品牌价值总额的</w:t>
      </w:r>
      <w:r>
        <w:rPr>
          <w:rFonts w:ascii="宋体" w:eastAsia="宋体" w:hAnsi="宋体" w:cs="宋体"/>
        </w:rPr>
        <w:t>18.98%</w:t>
      </w:r>
      <w:r>
        <w:rPr>
          <w:rFonts w:ascii="宋体" w:eastAsia="宋体" w:hAnsi="宋体" w:cs="宋体" w:hint="eastAsia"/>
        </w:rPr>
        <w:t>。上榜企业商标品牌价值总额占对应上市公司市值总额比重为</w:t>
      </w:r>
      <w:r>
        <w:rPr>
          <w:rFonts w:ascii="宋体" w:eastAsia="宋体" w:hAnsi="宋体" w:cs="宋体"/>
        </w:rPr>
        <w:t>17%</w:t>
      </w:r>
      <w:r>
        <w:rPr>
          <w:rFonts w:ascii="宋体" w:eastAsia="宋体" w:hAnsi="宋体" w:cs="宋体" w:hint="eastAsia"/>
        </w:rPr>
        <w:t>，商标品牌已成为上榜企业的重要资产。</w:t>
      </w:r>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纺织服装分榜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年公路铁路行业商标品牌价值排行</w:t>
      </w:r>
    </w:p>
    <w:tbl>
      <w:tblPr>
        <w:tblW w:w="8296" w:type="dxa"/>
        <w:tblInd w:w="-106" w:type="dxa"/>
        <w:tblLayout w:type="fixed"/>
        <w:tblLook w:val="04A0" w:firstRow="1" w:lastRow="0" w:firstColumn="1" w:lastColumn="0" w:noHBand="0" w:noVBand="1"/>
      </w:tblPr>
      <w:tblGrid>
        <w:gridCol w:w="820"/>
        <w:gridCol w:w="1707"/>
        <w:gridCol w:w="4063"/>
        <w:gridCol w:w="1706"/>
      </w:tblGrid>
      <w:tr w:rsidR="0082679C">
        <w:trPr>
          <w:trHeight w:val="792"/>
        </w:trPr>
        <w:tc>
          <w:tcPr>
            <w:tcW w:w="820" w:type="dxa"/>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77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1706" w:type="dxa"/>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w:t>
            </w:r>
            <w:r>
              <w:rPr>
                <w:rFonts w:ascii="宋体" w:eastAsia="宋体" w:hAnsi="宋体" w:cs="Times New Roman"/>
                <w:b/>
                <w:bCs/>
                <w:kern w:val="0"/>
              </w:rPr>
              <w:br/>
            </w:r>
            <w:r>
              <w:rPr>
                <w:rFonts w:ascii="宋体" w:eastAsia="宋体" w:hAnsi="宋体" w:cs="宋体" w:hint="eastAsia"/>
                <w:b/>
                <w:bCs/>
                <w:kern w:val="0"/>
              </w:rPr>
              <w:t>（亿元）</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海澜之家</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16890" cy="349885"/>
                  <wp:effectExtent l="0" t="0" r="1270" b="635"/>
                  <wp:docPr id="19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1"/>
                          <pic:cNvPicPr>
                            <a:picLocks noChangeAspect="1"/>
                          </pic:cNvPicPr>
                        </pic:nvPicPr>
                        <pic:blipFill>
                          <a:blip r:embed="rId35"/>
                          <a:stretch>
                            <a:fillRect/>
                          </a:stretch>
                        </pic:blipFill>
                        <pic:spPr>
                          <a:xfrm>
                            <a:off x="0" y="0"/>
                            <a:ext cx="516890" cy="34988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364.25</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lastRenderedPageBreak/>
              <w:t>2</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森马服饰</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144905" cy="365760"/>
                  <wp:effectExtent l="0" t="0" r="13335" b="0"/>
                  <wp:docPr id="19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2"/>
                          <pic:cNvPicPr>
                            <a:picLocks noChangeAspect="1"/>
                          </pic:cNvPicPr>
                        </pic:nvPicPr>
                        <pic:blipFill>
                          <a:blip r:embed="rId47"/>
                          <a:stretch>
                            <a:fillRect/>
                          </a:stretch>
                        </pic:blipFill>
                        <pic:spPr>
                          <a:xfrm>
                            <a:off x="0" y="0"/>
                            <a:ext cx="114490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289.70</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hint="eastAsia"/>
                <w:color w:val="000000"/>
                <w:kern w:val="0"/>
              </w:rPr>
              <w:t>鲁泰</w:t>
            </w:r>
            <w:r>
              <w:rPr>
                <w:rFonts w:ascii="宋体" w:eastAsia="宋体" w:hAnsi="宋体" w:cs="宋体"/>
                <w:color w:val="000000"/>
                <w:kern w:val="0"/>
              </w:rPr>
              <w:t>A</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57275" cy="357505"/>
                  <wp:effectExtent l="0" t="0" r="9525" b="8255"/>
                  <wp:docPr id="19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3"/>
                          <pic:cNvPicPr>
                            <a:picLocks noChangeAspect="1"/>
                          </pic:cNvPicPr>
                        </pic:nvPicPr>
                        <pic:blipFill>
                          <a:blip r:embed="rId160"/>
                          <a:stretch>
                            <a:fillRect/>
                          </a:stretch>
                        </pic:blipFill>
                        <pic:spPr>
                          <a:xfrm>
                            <a:off x="0" y="0"/>
                            <a:ext cx="1057275" cy="35750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87.94</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红蜻蜓</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381635" cy="349885"/>
                  <wp:effectExtent l="0" t="0" r="14605" b="635"/>
                  <wp:docPr id="18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4"/>
                          <pic:cNvPicPr>
                            <a:picLocks noChangeAspect="1"/>
                          </pic:cNvPicPr>
                        </pic:nvPicPr>
                        <pic:blipFill>
                          <a:blip r:embed="rId161"/>
                          <a:stretch>
                            <a:fillRect/>
                          </a:stretch>
                        </pic:blipFill>
                        <pic:spPr>
                          <a:xfrm>
                            <a:off x="0" y="0"/>
                            <a:ext cx="381635" cy="34988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87.27</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搜于特</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874395" cy="365760"/>
                  <wp:effectExtent l="0" t="0" r="9525" b="0"/>
                  <wp:docPr id="19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5"/>
                          <pic:cNvPicPr>
                            <a:picLocks noChangeAspect="1"/>
                          </pic:cNvPicPr>
                        </pic:nvPicPr>
                        <pic:blipFill>
                          <a:blip r:embed="rId162"/>
                          <a:stretch>
                            <a:fillRect/>
                          </a:stretch>
                        </pic:blipFill>
                        <pic:spPr>
                          <a:xfrm>
                            <a:off x="0" y="0"/>
                            <a:ext cx="87439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84.30</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际华集团</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48640" cy="357505"/>
                  <wp:effectExtent l="0" t="0" r="0" b="8255"/>
                  <wp:docPr id="19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6"/>
                          <pic:cNvPicPr>
                            <a:picLocks noChangeAspect="1"/>
                          </pic:cNvPicPr>
                        </pic:nvPicPr>
                        <pic:blipFill>
                          <a:blip r:embed="rId163"/>
                          <a:stretch>
                            <a:fillRect/>
                          </a:stretch>
                        </pic:blipFill>
                        <pic:spPr>
                          <a:xfrm>
                            <a:off x="0" y="0"/>
                            <a:ext cx="548640" cy="35750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71.03</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九牧王</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176655" cy="365760"/>
                  <wp:effectExtent l="0" t="0" r="12065" b="0"/>
                  <wp:docPr id="1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7"/>
                          <pic:cNvPicPr>
                            <a:picLocks noChangeAspect="1"/>
                          </pic:cNvPicPr>
                        </pic:nvPicPr>
                        <pic:blipFill>
                          <a:blip r:embed="rId164"/>
                          <a:stretch>
                            <a:fillRect/>
                          </a:stretch>
                        </pic:blipFill>
                        <pic:spPr>
                          <a:xfrm>
                            <a:off x="0" y="0"/>
                            <a:ext cx="117665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45.29</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航民股份</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381635" cy="365760"/>
                  <wp:effectExtent l="0" t="0" r="14605" b="0"/>
                  <wp:docPr id="1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8"/>
                          <pic:cNvPicPr>
                            <a:picLocks noChangeAspect="1"/>
                          </pic:cNvPicPr>
                        </pic:nvPicPr>
                        <pic:blipFill>
                          <a:blip r:embed="rId165"/>
                          <a:stretch>
                            <a:fillRect/>
                          </a:stretch>
                        </pic:blipFill>
                        <pic:spPr>
                          <a:xfrm>
                            <a:off x="0" y="0"/>
                            <a:ext cx="38163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44.35</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罗莱生活</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320165" cy="365760"/>
                  <wp:effectExtent l="0" t="0" r="5715" b="0"/>
                  <wp:docPr id="19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9"/>
                          <pic:cNvPicPr>
                            <a:picLocks noChangeAspect="1"/>
                          </pic:cNvPicPr>
                        </pic:nvPicPr>
                        <pic:blipFill>
                          <a:blip r:embed="rId166"/>
                          <a:stretch>
                            <a:fillRect/>
                          </a:stretch>
                        </pic:blipFill>
                        <pic:spPr>
                          <a:xfrm>
                            <a:off x="0" y="0"/>
                            <a:ext cx="132016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38.56</w:t>
            </w:r>
          </w:p>
        </w:tc>
      </w:tr>
      <w:tr w:rsidR="0082679C">
        <w:trPr>
          <w:trHeight w:val="262"/>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汇洁股份</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23265" cy="365760"/>
                  <wp:effectExtent l="0" t="0" r="8255" b="0"/>
                  <wp:docPr id="19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0"/>
                          <pic:cNvPicPr>
                            <a:picLocks noChangeAspect="1"/>
                          </pic:cNvPicPr>
                        </pic:nvPicPr>
                        <pic:blipFill>
                          <a:blip r:embed="rId167"/>
                          <a:stretch>
                            <a:fillRect/>
                          </a:stretch>
                        </pic:blipFill>
                        <pic:spPr>
                          <a:xfrm>
                            <a:off x="0" y="0"/>
                            <a:ext cx="72326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38.13</w:t>
            </w:r>
          </w:p>
        </w:tc>
      </w:tr>
    </w:tbl>
    <w:p w:rsidR="0082679C" w:rsidRDefault="0082679C">
      <w:pPr>
        <w:rPr>
          <w:rFonts w:ascii="宋体" w:eastAsia="宋体" w:hAnsi="宋体" w:cs="宋体"/>
        </w:rPr>
      </w:pPr>
    </w:p>
    <w:p w:rsidR="0082679C" w:rsidRDefault="00B435E0">
      <w:pPr>
        <w:spacing w:line="300" w:lineRule="auto"/>
        <w:ind w:firstLineChars="200" w:firstLine="420"/>
        <w:rPr>
          <w:rFonts w:ascii="宋体" w:eastAsia="宋体" w:hAnsi="宋体" w:cs="Times New Roman"/>
        </w:rPr>
      </w:pPr>
      <w:r>
        <w:rPr>
          <w:rFonts w:ascii="宋体" w:eastAsia="宋体" w:hAnsi="宋体" w:cs="宋体"/>
        </w:rPr>
        <w:t>2017</w:t>
      </w:r>
      <w:r>
        <w:rPr>
          <w:rFonts w:ascii="宋体" w:eastAsia="宋体" w:hAnsi="宋体" w:cs="宋体" w:hint="eastAsia"/>
        </w:rPr>
        <w:t>沪深上市公司商标品牌价值排行榜纺织服装行业分榜中，十家上榜企业商标品牌价值总额为</w:t>
      </w:r>
      <w:r>
        <w:rPr>
          <w:rFonts w:ascii="宋体" w:eastAsia="宋体" w:hAnsi="宋体" w:cs="宋体"/>
        </w:rPr>
        <w:t>1,150.8</w:t>
      </w:r>
      <w:r>
        <w:rPr>
          <w:rFonts w:ascii="宋体" w:eastAsia="宋体" w:hAnsi="宋体" w:cs="宋体" w:hint="eastAsia"/>
        </w:rPr>
        <w:t>亿元，较</w:t>
      </w:r>
      <w:r>
        <w:rPr>
          <w:rFonts w:ascii="宋体" w:eastAsia="宋体" w:hAnsi="宋体" w:cs="宋体"/>
        </w:rPr>
        <w:t>2016</w:t>
      </w:r>
      <w:r>
        <w:rPr>
          <w:rFonts w:ascii="宋体" w:eastAsia="宋体" w:hAnsi="宋体" w:cs="宋体" w:hint="eastAsia"/>
        </w:rPr>
        <w:t>榜单同比上升</w:t>
      </w:r>
      <w:r>
        <w:rPr>
          <w:rFonts w:ascii="宋体" w:eastAsia="宋体" w:hAnsi="宋体" w:cs="宋体"/>
        </w:rPr>
        <w:t>1.91%</w:t>
      </w:r>
      <w:r>
        <w:rPr>
          <w:rFonts w:ascii="宋体" w:eastAsia="宋体" w:hAnsi="宋体" w:cs="宋体" w:hint="eastAsia"/>
        </w:rPr>
        <w:t>，整体呈微上升趋势。其中，海澜之家商标品牌价值增长最多，同比上涨</w:t>
      </w:r>
      <w:r>
        <w:rPr>
          <w:rFonts w:ascii="宋体" w:eastAsia="宋体" w:hAnsi="宋体" w:cs="宋体"/>
        </w:rPr>
        <w:t>46.62</w:t>
      </w:r>
      <w:r>
        <w:rPr>
          <w:rFonts w:ascii="宋体" w:eastAsia="宋体" w:hAnsi="宋体" w:cs="宋体" w:hint="eastAsia"/>
        </w:rPr>
        <w:t>亿元，罗莱生活增长最快，同比增长</w:t>
      </w:r>
      <w:r>
        <w:rPr>
          <w:rFonts w:ascii="宋体" w:eastAsia="宋体" w:hAnsi="宋体" w:cs="宋体"/>
        </w:rPr>
        <w:t>19.89%</w:t>
      </w:r>
      <w:r>
        <w:rPr>
          <w:rFonts w:ascii="宋体" w:eastAsia="宋体" w:hAnsi="宋体" w:cs="宋体" w:hint="eastAsia"/>
        </w:rPr>
        <w:t>。</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海澜之家</w:t>
      </w:r>
      <w:r>
        <w:rPr>
          <w:rFonts w:ascii="宋体" w:eastAsia="宋体" w:hAnsi="宋体" w:cs="宋体" w:hint="eastAsia"/>
          <w:kern w:val="0"/>
        </w:rPr>
        <w:t>和</w:t>
      </w:r>
      <w:r>
        <w:rPr>
          <w:rFonts w:ascii="宋体" w:eastAsia="宋体" w:hAnsi="宋体" w:cs="宋体" w:hint="eastAsia"/>
        </w:rPr>
        <w:t>森马服饰，在</w:t>
      </w:r>
      <w:r>
        <w:rPr>
          <w:rFonts w:ascii="宋体" w:eastAsia="宋体" w:hAnsi="宋体" w:cs="宋体"/>
        </w:rPr>
        <w:t>2016</w:t>
      </w:r>
      <w:r>
        <w:rPr>
          <w:rFonts w:ascii="宋体" w:eastAsia="宋体" w:hAnsi="宋体" w:cs="宋体" w:hint="eastAsia"/>
        </w:rPr>
        <w:t>年度至</w:t>
      </w:r>
      <w:r>
        <w:rPr>
          <w:rFonts w:ascii="宋体" w:eastAsia="宋体" w:hAnsi="宋体" w:cs="宋体"/>
        </w:rPr>
        <w:t>2017</w:t>
      </w:r>
      <w:r>
        <w:rPr>
          <w:rFonts w:ascii="宋体" w:eastAsia="宋体" w:hAnsi="宋体" w:cs="宋体" w:hint="eastAsia"/>
        </w:rPr>
        <w:t>年度分榜排名中序位不变，仍然分别占据排名第一名、第二名；罗莱生活</w:t>
      </w:r>
      <w:r>
        <w:rPr>
          <w:rFonts w:ascii="宋体" w:eastAsia="宋体" w:hAnsi="宋体" w:cs="宋体"/>
          <w:kern w:val="0"/>
        </w:rPr>
        <w:t>2016</w:t>
      </w:r>
      <w:r>
        <w:rPr>
          <w:rFonts w:ascii="宋体" w:eastAsia="宋体" w:hAnsi="宋体" w:cs="宋体" w:hint="eastAsia"/>
        </w:rPr>
        <w:t>年度</w:t>
      </w:r>
      <w:r>
        <w:rPr>
          <w:rFonts w:ascii="宋体" w:eastAsia="宋体" w:hAnsi="宋体" w:cs="宋体" w:hint="eastAsia"/>
          <w:kern w:val="0"/>
        </w:rPr>
        <w:t>排名第十，</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晋级第九</w:t>
      </w:r>
      <w:r>
        <w:rPr>
          <w:rFonts w:ascii="宋体" w:eastAsia="宋体" w:hAnsi="宋体" w:cs="宋体" w:hint="eastAsia"/>
        </w:rPr>
        <w:t>名</w:t>
      </w:r>
      <w:r>
        <w:rPr>
          <w:rFonts w:ascii="宋体" w:eastAsia="宋体" w:hAnsi="宋体" w:cs="宋体" w:hint="eastAsia"/>
          <w:kern w:val="0"/>
        </w:rPr>
        <w:t>；</w:t>
      </w:r>
      <w:r>
        <w:rPr>
          <w:rFonts w:ascii="宋体" w:eastAsia="宋体" w:hAnsi="宋体" w:cs="宋体" w:hint="eastAsia"/>
        </w:rPr>
        <w:t>鲁泰</w:t>
      </w:r>
      <w:r>
        <w:rPr>
          <w:rFonts w:ascii="宋体" w:eastAsia="宋体" w:hAnsi="宋体" w:cs="宋体"/>
        </w:rPr>
        <w:t>A</w:t>
      </w:r>
      <w:r>
        <w:rPr>
          <w:rFonts w:ascii="宋体" w:eastAsia="宋体" w:hAnsi="宋体" w:cs="宋体" w:hint="eastAsia"/>
        </w:rPr>
        <w:t>、搜于特</w:t>
      </w:r>
      <w:r>
        <w:rPr>
          <w:rFonts w:ascii="宋体" w:eastAsia="宋体" w:hAnsi="宋体" w:cs="宋体" w:hint="eastAsia"/>
          <w:kern w:val="0"/>
        </w:rPr>
        <w:t>和</w:t>
      </w:r>
      <w:r>
        <w:rPr>
          <w:rFonts w:ascii="宋体" w:eastAsia="宋体" w:hAnsi="宋体" w:cs="宋体" w:hint="eastAsia"/>
        </w:rPr>
        <w:t>航民股份</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w:t>
      </w:r>
      <w:r>
        <w:rPr>
          <w:rFonts w:ascii="宋体" w:eastAsia="宋体" w:hAnsi="宋体" w:cs="宋体" w:hint="eastAsia"/>
          <w:kern w:val="0"/>
        </w:rPr>
        <w:t>分别</w:t>
      </w:r>
      <w:r>
        <w:rPr>
          <w:rFonts w:ascii="宋体" w:eastAsia="宋体" w:hAnsi="宋体" w:cs="宋体" w:hint="eastAsia"/>
        </w:rPr>
        <w:t>位居第三名、第五名和第八名；红蜻蜓、际华集团、</w:t>
      </w:r>
      <w:r>
        <w:rPr>
          <w:rFonts w:ascii="宋体" w:eastAsia="宋体" w:hAnsi="宋体" w:cs="宋体"/>
          <w:kern w:val="0"/>
        </w:rPr>
        <w:t xml:space="preserve"> </w:t>
      </w:r>
      <w:r>
        <w:rPr>
          <w:rFonts w:ascii="宋体" w:eastAsia="宋体" w:hAnsi="宋体" w:cs="宋体" w:hint="eastAsia"/>
          <w:kern w:val="0"/>
        </w:rPr>
        <w:t>九牧王、汇洁股份</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排</w:t>
      </w:r>
      <w:r>
        <w:rPr>
          <w:rFonts w:ascii="宋体" w:eastAsia="宋体" w:hAnsi="宋体" w:cs="宋体" w:hint="eastAsia"/>
        </w:rPr>
        <w:t>名分别第四名、第六名、第七名和第十名。上榜企业及其名次变动较明显。</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纺织服装行业企业商标品牌价值集中度</w:t>
      </w:r>
      <w:r>
        <w:rPr>
          <w:rFonts w:ascii="宋体" w:eastAsia="宋体" w:hAnsi="宋体" w:cs="宋体" w:hint="eastAsia"/>
          <w:kern w:val="0"/>
        </w:rPr>
        <w:t>很</w:t>
      </w:r>
      <w:r>
        <w:rPr>
          <w:rFonts w:ascii="宋体" w:eastAsia="宋体" w:hAnsi="宋体" w:cs="宋体" w:hint="eastAsia"/>
        </w:rPr>
        <w:t>高，</w:t>
      </w:r>
      <w:r>
        <w:rPr>
          <w:rFonts w:ascii="宋体" w:eastAsia="宋体" w:hAnsi="宋体" w:cs="宋体" w:hint="eastAsia"/>
          <w:kern w:val="0"/>
        </w:rPr>
        <w:t>排名前二的企业</w:t>
      </w:r>
      <w:r>
        <w:rPr>
          <w:rFonts w:ascii="宋体" w:eastAsia="宋体" w:hAnsi="宋体" w:cs="宋体" w:hint="eastAsia"/>
        </w:rPr>
        <w:t>商标品牌价值占</w:t>
      </w:r>
      <w:r>
        <w:rPr>
          <w:rFonts w:ascii="宋体" w:eastAsia="宋体" w:hAnsi="宋体" w:cs="宋体" w:hint="eastAsia"/>
          <w:kern w:val="0"/>
        </w:rPr>
        <w:t>上</w:t>
      </w:r>
      <w:r>
        <w:rPr>
          <w:rFonts w:ascii="宋体" w:eastAsia="宋体" w:hAnsi="宋体" w:cs="宋体" w:hint="eastAsia"/>
        </w:rPr>
        <w:t>榜企业商标品牌价值总额的</w:t>
      </w:r>
      <w:r>
        <w:rPr>
          <w:rFonts w:ascii="宋体" w:eastAsia="宋体" w:hAnsi="宋体" w:cs="宋体"/>
        </w:rPr>
        <w:t>56.82%</w:t>
      </w:r>
      <w:r>
        <w:rPr>
          <w:rFonts w:ascii="宋体" w:eastAsia="宋体" w:hAnsi="宋体" w:cs="宋体" w:hint="eastAsia"/>
        </w:rPr>
        <w:t>，</w:t>
      </w:r>
      <w:r>
        <w:rPr>
          <w:rFonts w:ascii="宋体" w:eastAsia="宋体" w:hAnsi="宋体" w:cs="宋体" w:hint="eastAsia"/>
          <w:kern w:val="0"/>
        </w:rPr>
        <w:t>上榜企业商标品牌价值总额占对应上市公司市值总额的比重为</w:t>
      </w:r>
      <w:r>
        <w:rPr>
          <w:rFonts w:ascii="宋体" w:eastAsia="宋体" w:hAnsi="宋体" w:cs="宋体"/>
        </w:rPr>
        <w:t>60.7%</w:t>
      </w:r>
      <w:r>
        <w:rPr>
          <w:rFonts w:ascii="宋体" w:eastAsia="宋体" w:hAnsi="宋体" w:cs="宋体" w:hint="eastAsia"/>
          <w:kern w:val="0"/>
        </w:rPr>
        <w:t>，绝大部分</w:t>
      </w:r>
      <w:r>
        <w:rPr>
          <w:rFonts w:ascii="宋体" w:eastAsia="宋体" w:hAnsi="宋体" w:cs="宋体" w:hint="eastAsia"/>
        </w:rPr>
        <w:t>上榜企业的总资产报酬率</w:t>
      </w:r>
      <w:r>
        <w:rPr>
          <w:rFonts w:ascii="宋体" w:eastAsia="宋体" w:hAnsi="宋体" w:cs="宋体" w:hint="eastAsia"/>
          <w:kern w:val="0"/>
        </w:rPr>
        <w:t>超过</w:t>
      </w:r>
      <w:r>
        <w:rPr>
          <w:rFonts w:ascii="宋体" w:eastAsia="宋体" w:hAnsi="宋体" w:cs="宋体" w:hint="eastAsia"/>
        </w:rPr>
        <w:t>行业平均水平。</w:t>
      </w:r>
    </w:p>
    <w:p w:rsidR="0082679C" w:rsidRDefault="0082679C">
      <w:pPr>
        <w:jc w:val="center"/>
        <w:rPr>
          <w:rFonts w:ascii="宋体" w:eastAsia="宋体" w:hAnsi="宋体" w:cs="宋体"/>
          <w:b/>
          <w:bCs/>
        </w:rPr>
      </w:pPr>
    </w:p>
    <w:p w:rsidR="0082679C" w:rsidRDefault="00B435E0">
      <w:pPr>
        <w:pStyle w:val="1"/>
        <w:spacing w:line="300" w:lineRule="auto"/>
        <w:jc w:val="center"/>
        <w:rPr>
          <w:rFonts w:ascii="宋体" w:cs="Times New Roman"/>
          <w:sz w:val="36"/>
          <w:szCs w:val="36"/>
        </w:rPr>
      </w:pPr>
      <w:r>
        <w:rPr>
          <w:rFonts w:ascii="宋体" w:hAnsi="宋体" w:cs="宋体" w:hint="eastAsia"/>
          <w:sz w:val="36"/>
          <w:szCs w:val="36"/>
        </w:rPr>
        <w:t>公路铁路分榜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年公路铁路行业商标品牌价值排行</w:t>
      </w:r>
    </w:p>
    <w:tbl>
      <w:tblPr>
        <w:tblW w:w="8296" w:type="dxa"/>
        <w:jc w:val="center"/>
        <w:tblLayout w:type="fixed"/>
        <w:tblLook w:val="04A0" w:firstRow="1" w:lastRow="0" w:firstColumn="1" w:lastColumn="0" w:noHBand="0" w:noVBand="1"/>
      </w:tblPr>
      <w:tblGrid>
        <w:gridCol w:w="820"/>
        <w:gridCol w:w="1707"/>
        <w:gridCol w:w="4063"/>
        <w:gridCol w:w="1706"/>
      </w:tblGrid>
      <w:tr w:rsidR="0082679C">
        <w:trPr>
          <w:trHeight w:val="697"/>
          <w:jc w:val="center"/>
        </w:trPr>
        <w:tc>
          <w:tcPr>
            <w:tcW w:w="820" w:type="dxa"/>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序号</w:t>
            </w:r>
          </w:p>
        </w:tc>
        <w:tc>
          <w:tcPr>
            <w:tcW w:w="577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cs="Times New Roman"/>
                <w:b/>
                <w:bCs/>
                <w:kern w:val="0"/>
                <w:szCs w:val="21"/>
              </w:rPr>
            </w:pPr>
            <w:r>
              <w:rPr>
                <w:rFonts w:ascii="宋体" w:eastAsia="宋体" w:hAnsi="宋体" w:cs="宋体" w:hint="eastAsia"/>
                <w:b/>
                <w:bCs/>
                <w:color w:val="000000"/>
                <w:kern w:val="0"/>
                <w:szCs w:val="21"/>
              </w:rPr>
              <w:t>上市公司简称</w:t>
            </w:r>
          </w:p>
        </w:tc>
        <w:tc>
          <w:tcPr>
            <w:tcW w:w="1706" w:type="dxa"/>
            <w:tcBorders>
              <w:top w:val="single" w:sz="4" w:space="0" w:color="auto"/>
              <w:left w:val="single" w:sz="4" w:space="0" w:color="auto"/>
              <w:bottom w:val="single" w:sz="4" w:space="0" w:color="auto"/>
              <w:right w:val="single" w:sz="4" w:space="0" w:color="auto"/>
            </w:tcBorders>
            <w:shd w:val="clear" w:color="auto" w:fill="BDD6EE"/>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商标品牌价值</w:t>
            </w:r>
            <w:r>
              <w:rPr>
                <w:rFonts w:ascii="宋体" w:cs="Times New Roman"/>
                <w:b/>
                <w:bCs/>
                <w:kern w:val="0"/>
                <w:szCs w:val="21"/>
              </w:rPr>
              <w:br/>
            </w:r>
            <w:r>
              <w:rPr>
                <w:rFonts w:ascii="宋体" w:hAnsi="宋体" w:cs="宋体" w:hint="eastAsia"/>
                <w:b/>
                <w:bCs/>
                <w:kern w:val="0"/>
                <w:szCs w:val="21"/>
              </w:rPr>
              <w:lastRenderedPageBreak/>
              <w:t>（亿元）</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lastRenderedPageBreak/>
              <w:t>1</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大秦铁路</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21640" cy="341630"/>
                  <wp:effectExtent l="0" t="0" r="5080" b="8890"/>
                  <wp:docPr id="20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1"/>
                          <pic:cNvPicPr>
                            <a:picLocks noChangeAspect="1"/>
                          </pic:cNvPicPr>
                        </pic:nvPicPr>
                        <pic:blipFill>
                          <a:blip r:embed="rId78"/>
                          <a:stretch>
                            <a:fillRect/>
                          </a:stretch>
                        </pic:blipFill>
                        <pic:spPr>
                          <a:xfrm>
                            <a:off x="0" y="0"/>
                            <a:ext cx="421640" cy="34163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183.82</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宁沪高速</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397510" cy="349885"/>
                  <wp:effectExtent l="0" t="0" r="13970" b="635"/>
                  <wp:docPr id="20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2"/>
                          <pic:cNvPicPr>
                            <a:picLocks noChangeAspect="1"/>
                          </pic:cNvPicPr>
                        </pic:nvPicPr>
                        <pic:blipFill>
                          <a:blip r:embed="rId97"/>
                          <a:stretch>
                            <a:fillRect/>
                          </a:stretch>
                        </pic:blipFill>
                        <pic:spPr>
                          <a:xfrm>
                            <a:off x="0" y="0"/>
                            <a:ext cx="397510" cy="34988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133.59</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山东高速</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61010" cy="365760"/>
                  <wp:effectExtent l="0" t="0" r="11430" b="0"/>
                  <wp:docPr id="1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3"/>
                          <pic:cNvPicPr>
                            <a:picLocks noChangeAspect="1"/>
                          </pic:cNvPicPr>
                        </pic:nvPicPr>
                        <pic:blipFill>
                          <a:blip r:embed="rId168"/>
                          <a:stretch>
                            <a:fillRect/>
                          </a:stretch>
                        </pic:blipFill>
                        <pic:spPr>
                          <a:xfrm>
                            <a:off x="0" y="0"/>
                            <a:ext cx="46101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68.12</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深高速</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548640" cy="365760"/>
                  <wp:effectExtent l="0" t="0" r="0" b="0"/>
                  <wp:docPr id="20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74"/>
                          <pic:cNvPicPr>
                            <a:picLocks noChangeAspect="1"/>
                          </pic:cNvPicPr>
                        </pic:nvPicPr>
                        <pic:blipFill>
                          <a:blip r:embed="rId169"/>
                          <a:stretch>
                            <a:fillRect/>
                          </a:stretch>
                        </pic:blipFill>
                        <pic:spPr>
                          <a:xfrm>
                            <a:off x="0" y="0"/>
                            <a:ext cx="54864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42.90</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hint="eastAsia"/>
                <w:color w:val="000000"/>
                <w:kern w:val="0"/>
                <w:szCs w:val="21"/>
              </w:rPr>
              <w:t>粤高速</w:t>
            </w:r>
            <w:r>
              <w:rPr>
                <w:rFonts w:ascii="宋体" w:hAnsi="宋体" w:cs="宋体"/>
                <w:color w:val="000000"/>
                <w:kern w:val="0"/>
                <w:szCs w:val="21"/>
              </w:rPr>
              <w:t>A</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677670" cy="365760"/>
                  <wp:effectExtent l="0" t="0" r="13970" b="0"/>
                  <wp:docPr id="2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5"/>
                          <pic:cNvPicPr>
                            <a:picLocks noChangeAspect="1"/>
                          </pic:cNvPicPr>
                        </pic:nvPicPr>
                        <pic:blipFill>
                          <a:blip r:embed="rId170"/>
                          <a:stretch>
                            <a:fillRect/>
                          </a:stretch>
                        </pic:blipFill>
                        <pic:spPr>
                          <a:xfrm>
                            <a:off x="0" y="0"/>
                            <a:ext cx="167767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40.15</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广深铁路</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890270" cy="365760"/>
                  <wp:effectExtent l="0" t="0" r="8890" b="0"/>
                  <wp:docPr id="20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6"/>
                          <pic:cNvPicPr>
                            <a:picLocks noChangeAspect="1"/>
                          </pic:cNvPicPr>
                        </pic:nvPicPr>
                        <pic:blipFill>
                          <a:blip r:embed="rId171"/>
                          <a:stretch>
                            <a:fillRect/>
                          </a:stretch>
                        </pic:blipFill>
                        <pic:spPr>
                          <a:xfrm>
                            <a:off x="0" y="0"/>
                            <a:ext cx="89027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35.05</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7</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皖通高速</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21640" cy="349885"/>
                  <wp:effectExtent l="0" t="0" r="5080" b="635"/>
                  <wp:docPr id="20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7"/>
                          <pic:cNvPicPr>
                            <a:picLocks noChangeAspect="1"/>
                          </pic:cNvPicPr>
                        </pic:nvPicPr>
                        <pic:blipFill>
                          <a:blip r:embed="rId172"/>
                          <a:stretch>
                            <a:fillRect/>
                          </a:stretch>
                        </pic:blipFill>
                        <pic:spPr>
                          <a:xfrm>
                            <a:off x="0" y="0"/>
                            <a:ext cx="421640" cy="349885"/>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30.95</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8</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四川成渝</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92760" cy="365760"/>
                  <wp:effectExtent l="0" t="0" r="10160" b="0"/>
                  <wp:docPr id="20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78"/>
                          <pic:cNvPicPr>
                            <a:picLocks noChangeAspect="1"/>
                          </pic:cNvPicPr>
                        </pic:nvPicPr>
                        <pic:blipFill>
                          <a:blip r:embed="rId173"/>
                          <a:stretch>
                            <a:fillRect/>
                          </a:stretch>
                        </pic:blipFill>
                        <pic:spPr>
                          <a:xfrm>
                            <a:off x="0" y="0"/>
                            <a:ext cx="49276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27.49</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中原高速</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429260" cy="365760"/>
                  <wp:effectExtent l="0" t="0" r="12700" b="0"/>
                  <wp:docPr id="20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9"/>
                          <pic:cNvPicPr>
                            <a:picLocks noChangeAspect="1"/>
                          </pic:cNvPicPr>
                        </pic:nvPicPr>
                        <pic:blipFill>
                          <a:blip r:embed="rId174"/>
                          <a:stretch>
                            <a:fillRect/>
                          </a:stretch>
                        </pic:blipFill>
                        <pic:spPr>
                          <a:xfrm>
                            <a:off x="0" y="0"/>
                            <a:ext cx="429260"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18.15</w:t>
            </w:r>
          </w:p>
        </w:tc>
      </w:tr>
      <w:tr w:rsidR="0082679C">
        <w:trPr>
          <w:trHeight w:val="231"/>
          <w:jc w:val="center"/>
        </w:trPr>
        <w:tc>
          <w:tcPr>
            <w:tcW w:w="820"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10</w:t>
            </w:r>
          </w:p>
        </w:tc>
        <w:tc>
          <w:tcPr>
            <w:tcW w:w="1707"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现代投资</w:t>
            </w:r>
          </w:p>
        </w:tc>
        <w:tc>
          <w:tcPr>
            <w:tcW w:w="4063"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930275" cy="365760"/>
                  <wp:effectExtent l="0" t="0" r="14605" b="0"/>
                  <wp:docPr id="20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80"/>
                          <pic:cNvPicPr>
                            <a:picLocks noChangeAspect="1"/>
                          </pic:cNvPicPr>
                        </pic:nvPicPr>
                        <pic:blipFill>
                          <a:blip r:embed="rId175"/>
                          <a:stretch>
                            <a:fillRect/>
                          </a:stretch>
                        </pic:blipFill>
                        <pic:spPr>
                          <a:xfrm>
                            <a:off x="0" y="0"/>
                            <a:ext cx="930275" cy="365760"/>
                          </a:xfrm>
                          <a:prstGeom prst="rect">
                            <a:avLst/>
                          </a:prstGeom>
                          <a:noFill/>
                          <a:ln w="9525">
                            <a:noFill/>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17.78</w:t>
            </w:r>
          </w:p>
        </w:tc>
      </w:tr>
    </w:tbl>
    <w:p w:rsidR="0082679C" w:rsidRDefault="0082679C">
      <w:pPr>
        <w:rPr>
          <w:rFonts w:ascii="宋体" w:cs="Times New Roman"/>
        </w:rPr>
      </w:pPr>
    </w:p>
    <w:p w:rsidR="0082679C" w:rsidRPr="00D5636E" w:rsidRDefault="00B435E0">
      <w:pPr>
        <w:spacing w:line="300" w:lineRule="auto"/>
        <w:ind w:firstLineChars="200" w:firstLine="420"/>
        <w:rPr>
          <w:rFonts w:ascii="宋体" w:eastAsia="宋体" w:hAnsi="宋体" w:cs="Times New Roman"/>
          <w:kern w:val="0"/>
          <w:szCs w:val="21"/>
        </w:rPr>
      </w:pPr>
      <w:r w:rsidRPr="00D5636E">
        <w:rPr>
          <w:rFonts w:ascii="宋体" w:eastAsia="宋体" w:hAnsi="宋体" w:cs="宋体"/>
          <w:szCs w:val="21"/>
        </w:rPr>
        <w:t>2017</w:t>
      </w:r>
      <w:r w:rsidRPr="00D5636E">
        <w:rPr>
          <w:rFonts w:ascii="宋体" w:eastAsia="宋体" w:hAnsi="宋体" w:cs="宋体" w:hint="eastAsia"/>
          <w:szCs w:val="21"/>
        </w:rPr>
        <w:t>沪深上市公司商标品牌价值排行榜公路铁路分榜中，十家上榜企业商标品牌价值总额为</w:t>
      </w:r>
      <w:r w:rsidRPr="00D5636E">
        <w:rPr>
          <w:rFonts w:ascii="宋体" w:eastAsia="宋体" w:hAnsi="宋体" w:cs="宋体"/>
          <w:kern w:val="0"/>
          <w:szCs w:val="21"/>
        </w:rPr>
        <w:t>598.01</w:t>
      </w:r>
      <w:r w:rsidRPr="00D5636E">
        <w:rPr>
          <w:rFonts w:ascii="宋体" w:eastAsia="宋体" w:hAnsi="宋体" w:cs="宋体" w:hint="eastAsia"/>
          <w:szCs w:val="21"/>
        </w:rPr>
        <w:t>亿元，较</w:t>
      </w:r>
      <w:r w:rsidRPr="00D5636E">
        <w:rPr>
          <w:rFonts w:ascii="宋体" w:eastAsia="宋体" w:hAnsi="宋体" w:cs="宋体"/>
          <w:szCs w:val="21"/>
        </w:rPr>
        <w:t>2016</w:t>
      </w:r>
      <w:r w:rsidRPr="00D5636E">
        <w:rPr>
          <w:rFonts w:ascii="宋体" w:eastAsia="宋体" w:hAnsi="宋体" w:cs="宋体" w:hint="eastAsia"/>
          <w:szCs w:val="21"/>
        </w:rPr>
        <w:t>榜单整体呈上升趋势</w:t>
      </w:r>
      <w:r w:rsidRPr="00D5636E">
        <w:rPr>
          <w:rFonts w:ascii="宋体" w:eastAsia="宋体" w:hAnsi="宋体" w:cs="宋体" w:hint="eastAsia"/>
          <w:kern w:val="0"/>
          <w:szCs w:val="21"/>
        </w:rPr>
        <w:t>。其中，宁沪高速较去年</w:t>
      </w:r>
      <w:r w:rsidRPr="00D5636E">
        <w:rPr>
          <w:rFonts w:ascii="宋体" w:eastAsia="宋体" w:hAnsi="宋体" w:cs="宋体" w:hint="eastAsia"/>
          <w:szCs w:val="21"/>
        </w:rPr>
        <w:t>增长数额最大，同比上涨29.21亿元；同时，</w:t>
      </w:r>
      <w:r w:rsidRPr="00D5636E">
        <w:rPr>
          <w:rFonts w:ascii="宋体" w:eastAsia="宋体" w:hAnsi="宋体" w:cs="宋体" w:hint="eastAsia"/>
          <w:kern w:val="0"/>
          <w:szCs w:val="21"/>
        </w:rPr>
        <w:t>宁沪高速公司商标品牌价值也增长最快，同比增长</w:t>
      </w:r>
      <w:r w:rsidRPr="00D5636E">
        <w:rPr>
          <w:rFonts w:ascii="宋体" w:eastAsia="宋体" w:hAnsi="宋体" w:cs="宋体"/>
          <w:kern w:val="0"/>
          <w:szCs w:val="21"/>
        </w:rPr>
        <w:t>27.98%</w:t>
      </w:r>
      <w:r w:rsidRPr="00D5636E">
        <w:rPr>
          <w:rFonts w:ascii="宋体" w:eastAsia="宋体" w:hAnsi="宋体" w:cs="宋体" w:hint="eastAsia"/>
          <w:kern w:val="0"/>
          <w:szCs w:val="21"/>
        </w:rPr>
        <w:t>。</w:t>
      </w: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hint="eastAsia"/>
          <w:kern w:val="0"/>
          <w:szCs w:val="21"/>
        </w:rPr>
        <w:t>大秦铁路</w:t>
      </w:r>
      <w:r w:rsidRPr="00D5636E">
        <w:rPr>
          <w:rFonts w:ascii="宋体" w:eastAsia="宋体" w:hAnsi="宋体" w:cs="宋体" w:hint="eastAsia"/>
          <w:szCs w:val="21"/>
        </w:rPr>
        <w:t>、</w:t>
      </w:r>
      <w:r w:rsidRPr="00D5636E">
        <w:rPr>
          <w:rFonts w:ascii="宋体" w:eastAsia="宋体" w:hAnsi="宋体" w:cs="宋体" w:hint="eastAsia"/>
          <w:kern w:val="0"/>
          <w:szCs w:val="21"/>
        </w:rPr>
        <w:t>宁沪高速</w:t>
      </w:r>
      <w:r w:rsidRPr="00D5636E">
        <w:rPr>
          <w:rFonts w:ascii="宋体" w:eastAsia="宋体" w:hAnsi="宋体" w:cs="宋体" w:hint="eastAsia"/>
          <w:szCs w:val="21"/>
        </w:rPr>
        <w:t>、山东高速、深高速、粤高速</w:t>
      </w:r>
      <w:r w:rsidRPr="00D5636E">
        <w:rPr>
          <w:rFonts w:ascii="宋体" w:eastAsia="宋体" w:hAnsi="宋体" w:cs="宋体"/>
          <w:szCs w:val="21"/>
        </w:rPr>
        <w:t>A</w:t>
      </w:r>
      <w:r w:rsidRPr="00D5636E">
        <w:rPr>
          <w:rFonts w:ascii="宋体" w:eastAsia="宋体" w:hAnsi="宋体" w:cs="宋体" w:hint="eastAsia"/>
          <w:szCs w:val="21"/>
        </w:rPr>
        <w:t>和广深铁路，在</w:t>
      </w:r>
      <w:r w:rsidRPr="00D5636E">
        <w:rPr>
          <w:rFonts w:ascii="宋体" w:eastAsia="宋体" w:hAnsi="宋体" w:cs="宋体"/>
          <w:szCs w:val="21"/>
        </w:rPr>
        <w:t>2016</w:t>
      </w:r>
      <w:r w:rsidRPr="00D5636E">
        <w:rPr>
          <w:rFonts w:ascii="宋体" w:eastAsia="宋体" w:hAnsi="宋体" w:cs="宋体" w:hint="eastAsia"/>
          <w:szCs w:val="21"/>
        </w:rPr>
        <w:t>年度至</w:t>
      </w:r>
      <w:r w:rsidRPr="00D5636E">
        <w:rPr>
          <w:rFonts w:ascii="宋体" w:eastAsia="宋体" w:hAnsi="宋体" w:cs="宋体"/>
          <w:szCs w:val="21"/>
        </w:rPr>
        <w:t>2017</w:t>
      </w:r>
      <w:r w:rsidRPr="00D5636E">
        <w:rPr>
          <w:rFonts w:ascii="宋体" w:eastAsia="宋体" w:hAnsi="宋体" w:cs="宋体" w:hint="eastAsia"/>
          <w:szCs w:val="21"/>
        </w:rPr>
        <w:t>年度分榜排名中序位不变，仍然分别占据排名第一名至第六名</w:t>
      </w:r>
      <w:r w:rsidRPr="00D5636E">
        <w:rPr>
          <w:rFonts w:ascii="宋体" w:eastAsia="宋体" w:hAnsi="宋体" w:cs="宋体" w:hint="eastAsia"/>
          <w:kern w:val="0"/>
          <w:szCs w:val="21"/>
        </w:rPr>
        <w:t>；皖通</w:t>
      </w:r>
      <w:r w:rsidRPr="00D5636E">
        <w:rPr>
          <w:rFonts w:ascii="宋体" w:eastAsia="宋体" w:hAnsi="宋体" w:cs="宋体" w:hint="eastAsia"/>
          <w:szCs w:val="21"/>
        </w:rPr>
        <w:t>高速</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排名第八，</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晋级第七</w:t>
      </w:r>
      <w:r w:rsidRPr="00D5636E">
        <w:rPr>
          <w:rFonts w:ascii="宋体" w:eastAsia="宋体" w:hAnsi="宋体" w:cs="宋体" w:hint="eastAsia"/>
          <w:szCs w:val="21"/>
        </w:rPr>
        <w:t>名</w:t>
      </w:r>
      <w:r w:rsidRPr="00D5636E">
        <w:rPr>
          <w:rFonts w:ascii="宋体" w:eastAsia="宋体" w:hAnsi="宋体" w:cs="宋体" w:hint="eastAsia"/>
          <w:kern w:val="0"/>
          <w:szCs w:val="21"/>
        </w:rPr>
        <w:t>，中原</w:t>
      </w:r>
      <w:r w:rsidRPr="00D5636E">
        <w:rPr>
          <w:rFonts w:ascii="宋体" w:eastAsia="宋体" w:hAnsi="宋体" w:cs="宋体" w:hint="eastAsia"/>
          <w:szCs w:val="21"/>
        </w:rPr>
        <w:t>高速</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排名第十，</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晋级第九</w:t>
      </w:r>
      <w:r w:rsidRPr="00D5636E">
        <w:rPr>
          <w:rFonts w:ascii="宋体" w:eastAsia="宋体" w:hAnsi="宋体" w:cs="宋体" w:hint="eastAsia"/>
          <w:szCs w:val="21"/>
        </w:rPr>
        <w:t>名；</w:t>
      </w:r>
      <w:r w:rsidRPr="00D5636E">
        <w:rPr>
          <w:rFonts w:ascii="宋体" w:eastAsia="宋体" w:hAnsi="宋体" w:cs="宋体" w:hint="eastAsia"/>
          <w:kern w:val="0"/>
          <w:szCs w:val="21"/>
        </w:rPr>
        <w:t>四川成渝和现代投资</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排名</w:t>
      </w:r>
      <w:r w:rsidRPr="00D5636E">
        <w:rPr>
          <w:rFonts w:ascii="宋体" w:eastAsia="宋体" w:hAnsi="宋体" w:cs="宋体" w:hint="eastAsia"/>
          <w:szCs w:val="21"/>
        </w:rPr>
        <w:t>第八名和第十名。</w:t>
      </w:r>
      <w:r w:rsidRPr="00D5636E">
        <w:rPr>
          <w:rFonts w:ascii="宋体" w:eastAsia="宋体" w:hAnsi="宋体" w:cs="宋体"/>
          <w:kern w:val="0"/>
          <w:szCs w:val="21"/>
        </w:rPr>
        <w:t>2017</w:t>
      </w:r>
      <w:r w:rsidRPr="00D5636E">
        <w:rPr>
          <w:rFonts w:ascii="宋体" w:eastAsia="宋体" w:hAnsi="宋体" w:cs="宋体" w:hint="eastAsia"/>
          <w:szCs w:val="21"/>
        </w:rPr>
        <w:t>年度上榜企业及其名次整体趋</w:t>
      </w:r>
      <w:r w:rsidRPr="00D5636E">
        <w:rPr>
          <w:rFonts w:ascii="宋体" w:eastAsia="宋体" w:hAnsi="宋体" w:cs="宋体" w:hint="eastAsia"/>
          <w:kern w:val="0"/>
          <w:szCs w:val="21"/>
        </w:rPr>
        <w:t>稳。</w:t>
      </w:r>
    </w:p>
    <w:p w:rsidR="0082679C" w:rsidRPr="00D5636E" w:rsidRDefault="00B435E0">
      <w:pPr>
        <w:spacing w:line="300" w:lineRule="auto"/>
        <w:ind w:firstLineChars="200" w:firstLine="420"/>
        <w:rPr>
          <w:rFonts w:ascii="宋体" w:eastAsia="宋体" w:hAnsi="宋体" w:cs="Times New Roman"/>
          <w:kern w:val="0"/>
          <w:szCs w:val="21"/>
        </w:rPr>
      </w:pPr>
      <w:r w:rsidRPr="00D5636E">
        <w:rPr>
          <w:rFonts w:ascii="宋体" w:eastAsia="宋体" w:hAnsi="宋体" w:cs="宋体" w:hint="eastAsia"/>
          <w:kern w:val="0"/>
          <w:szCs w:val="21"/>
        </w:rPr>
        <w:t>公路铁路行业企业商标品牌价值集中度很高，大秦铁路和宁沪高速商标品牌价值超过百亿，占上榜企业商标品牌价值总额的比重超过</w:t>
      </w:r>
      <w:r w:rsidRPr="00D5636E">
        <w:rPr>
          <w:rFonts w:ascii="宋体" w:eastAsia="宋体" w:hAnsi="宋体" w:cs="宋体"/>
          <w:kern w:val="0"/>
          <w:szCs w:val="21"/>
        </w:rPr>
        <w:t>50%</w:t>
      </w:r>
      <w:r w:rsidRPr="00D5636E">
        <w:rPr>
          <w:rFonts w:ascii="宋体" w:eastAsia="宋体" w:hAnsi="宋体" w:cs="宋体" w:hint="eastAsia"/>
          <w:kern w:val="0"/>
          <w:szCs w:val="21"/>
        </w:rPr>
        <w:t>，上榜企业商标品牌价值总额占对应上市公司市值总额的比重约</w:t>
      </w:r>
      <w:r w:rsidRPr="00D5636E">
        <w:rPr>
          <w:rFonts w:ascii="宋体" w:eastAsia="宋体" w:hAnsi="宋体" w:cs="宋体"/>
          <w:kern w:val="0"/>
          <w:szCs w:val="21"/>
        </w:rPr>
        <w:t>19.33%</w:t>
      </w:r>
      <w:r w:rsidRPr="00D5636E">
        <w:rPr>
          <w:rFonts w:ascii="宋体" w:eastAsia="宋体" w:hAnsi="宋体" w:cs="宋体" w:hint="eastAsia"/>
          <w:kern w:val="0"/>
          <w:szCs w:val="21"/>
        </w:rPr>
        <w:t>，公路铁路属于重资产公共基础设施建设运营业，企业商标品牌价值高占比意义重大。绝大部分上榜企业总资产报酬率普遍高于行业平均水平。</w:t>
      </w:r>
    </w:p>
    <w:p w:rsidR="0082679C" w:rsidRDefault="00B435E0">
      <w:pPr>
        <w:pStyle w:val="1"/>
        <w:spacing w:line="300" w:lineRule="auto"/>
        <w:jc w:val="center"/>
        <w:rPr>
          <w:rFonts w:ascii="宋体" w:eastAsia="宋体" w:hAnsi="宋体" w:cs="Times New Roman"/>
          <w:sz w:val="36"/>
          <w:szCs w:val="36"/>
        </w:rPr>
      </w:pPr>
      <w:r>
        <w:rPr>
          <w:rFonts w:ascii="宋体" w:eastAsia="宋体" w:hAnsi="宋体" w:cs="宋体" w:hint="eastAsia"/>
          <w:sz w:val="36"/>
          <w:szCs w:val="36"/>
        </w:rPr>
        <w:t>文化传媒分榜</w:t>
      </w:r>
    </w:p>
    <w:p w:rsidR="0082679C" w:rsidRDefault="00B435E0">
      <w:pPr>
        <w:pStyle w:val="a6"/>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年文化传媒上市公司商标品牌价值排行</w:t>
      </w:r>
    </w:p>
    <w:tbl>
      <w:tblPr>
        <w:tblW w:w="8528" w:type="dxa"/>
        <w:jc w:val="center"/>
        <w:tblLayout w:type="fixed"/>
        <w:tblLook w:val="04A0" w:firstRow="1" w:lastRow="0" w:firstColumn="1" w:lastColumn="0" w:noHBand="0" w:noVBand="1"/>
      </w:tblPr>
      <w:tblGrid>
        <w:gridCol w:w="842"/>
        <w:gridCol w:w="1755"/>
        <w:gridCol w:w="3809"/>
        <w:gridCol w:w="2122"/>
      </w:tblGrid>
      <w:tr w:rsidR="0082679C">
        <w:trPr>
          <w:trHeight w:val="450"/>
          <w:jc w:val="center"/>
        </w:trPr>
        <w:tc>
          <w:tcPr>
            <w:tcW w:w="842"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序号</w:t>
            </w:r>
          </w:p>
        </w:tc>
        <w:tc>
          <w:tcPr>
            <w:tcW w:w="5564"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color w:val="000000"/>
                <w:kern w:val="0"/>
                <w:szCs w:val="21"/>
              </w:rPr>
              <w:t>上市公司简称</w:t>
            </w:r>
          </w:p>
        </w:tc>
        <w:tc>
          <w:tcPr>
            <w:tcW w:w="2122"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eastAsia="宋体" w:hAnsi="宋体" w:cs="Times New Roman"/>
                <w:b/>
                <w:bCs/>
                <w:kern w:val="0"/>
              </w:rPr>
            </w:pPr>
            <w:r>
              <w:rPr>
                <w:rFonts w:ascii="宋体" w:eastAsia="宋体" w:hAnsi="宋体" w:cs="宋体" w:hint="eastAsia"/>
                <w:b/>
                <w:bCs/>
                <w:kern w:val="0"/>
              </w:rPr>
              <w:t>商标品牌价值（亿元）</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lastRenderedPageBreak/>
              <w:t>1</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分众传媒</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47395" cy="365760"/>
                  <wp:effectExtent l="0" t="0" r="14605" b="0"/>
                  <wp:docPr id="21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1"/>
                          <pic:cNvPicPr>
                            <a:picLocks noChangeAspect="1"/>
                          </pic:cNvPicPr>
                        </pic:nvPicPr>
                        <pic:blipFill>
                          <a:blip r:embed="rId30"/>
                          <a:stretch>
                            <a:fillRect/>
                          </a:stretch>
                        </pic:blipFill>
                        <pic:spPr>
                          <a:xfrm>
                            <a:off x="0" y="0"/>
                            <a:ext cx="747395"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449.82</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万达电影</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588645" cy="365760"/>
                  <wp:effectExtent l="0" t="0" r="5715" b="0"/>
                  <wp:docPr id="2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2"/>
                          <pic:cNvPicPr>
                            <a:picLocks noChangeAspect="1"/>
                          </pic:cNvPicPr>
                        </pic:nvPicPr>
                        <pic:blipFill>
                          <a:blip r:embed="rId43"/>
                          <a:stretch>
                            <a:fillRect/>
                          </a:stretch>
                        </pic:blipFill>
                        <pic:spPr>
                          <a:xfrm>
                            <a:off x="0" y="0"/>
                            <a:ext cx="588645"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302.31</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3</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东方明珠</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39775" cy="365760"/>
                  <wp:effectExtent l="0" t="0" r="6985" b="0"/>
                  <wp:docPr id="21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3"/>
                          <pic:cNvPicPr>
                            <a:picLocks noChangeAspect="1"/>
                          </pic:cNvPicPr>
                        </pic:nvPicPr>
                        <pic:blipFill>
                          <a:blip r:embed="rId65"/>
                          <a:stretch>
                            <a:fillRect/>
                          </a:stretch>
                        </pic:blipFill>
                        <pic:spPr>
                          <a:xfrm>
                            <a:off x="0" y="0"/>
                            <a:ext cx="739775"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 xml:space="preserve"> 217.48</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4</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完美世界</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23265" cy="349885"/>
                  <wp:effectExtent l="0" t="0" r="8255" b="635"/>
                  <wp:docPr id="21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4"/>
                          <pic:cNvPicPr>
                            <a:picLocks noChangeAspect="1"/>
                          </pic:cNvPicPr>
                        </pic:nvPicPr>
                        <pic:blipFill>
                          <a:blip r:embed="rId71"/>
                          <a:stretch>
                            <a:fillRect/>
                          </a:stretch>
                        </pic:blipFill>
                        <pic:spPr>
                          <a:xfrm>
                            <a:off x="0" y="0"/>
                            <a:ext cx="723265" cy="349885"/>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206.85</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5</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中南传媒</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620395" cy="349885"/>
                  <wp:effectExtent l="0" t="0" r="4445" b="635"/>
                  <wp:docPr id="21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5"/>
                          <pic:cNvPicPr>
                            <a:picLocks noChangeAspect="1"/>
                          </pic:cNvPicPr>
                        </pic:nvPicPr>
                        <pic:blipFill>
                          <a:blip r:embed="rId176"/>
                          <a:stretch>
                            <a:fillRect/>
                          </a:stretch>
                        </pic:blipFill>
                        <pic:spPr>
                          <a:xfrm>
                            <a:off x="0" y="0"/>
                            <a:ext cx="620395" cy="349885"/>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201.10</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6</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三七互娱</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296035" cy="365760"/>
                  <wp:effectExtent l="0" t="0" r="14605" b="0"/>
                  <wp:docPr id="21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6"/>
                          <pic:cNvPicPr>
                            <a:picLocks noChangeAspect="1"/>
                          </pic:cNvPicPr>
                        </pic:nvPicPr>
                        <pic:blipFill>
                          <a:blip r:embed="rId177"/>
                          <a:stretch>
                            <a:fillRect/>
                          </a:stretch>
                        </pic:blipFill>
                        <pic:spPr>
                          <a:xfrm>
                            <a:off x="0" y="0"/>
                            <a:ext cx="1296035"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153.52</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7</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中国电影</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1065530" cy="365760"/>
                  <wp:effectExtent l="0" t="0" r="1270" b="0"/>
                  <wp:docPr id="20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7"/>
                          <pic:cNvPicPr>
                            <a:picLocks noChangeAspect="1"/>
                          </pic:cNvPicPr>
                        </pic:nvPicPr>
                        <pic:blipFill>
                          <a:blip r:embed="rId87"/>
                          <a:stretch>
                            <a:fillRect/>
                          </a:stretch>
                        </pic:blipFill>
                        <pic:spPr>
                          <a:xfrm>
                            <a:off x="0" y="0"/>
                            <a:ext cx="1065530"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153.30</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8</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中文传媒</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866775" cy="365760"/>
                  <wp:effectExtent l="0" t="0" r="1905" b="0"/>
                  <wp:docPr id="21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8"/>
                          <pic:cNvPicPr>
                            <a:picLocks noChangeAspect="1"/>
                          </pic:cNvPicPr>
                        </pic:nvPicPr>
                        <pic:blipFill>
                          <a:blip r:embed="rId90"/>
                          <a:stretch>
                            <a:fillRect/>
                          </a:stretch>
                        </pic:blipFill>
                        <pic:spPr>
                          <a:xfrm>
                            <a:off x="0" y="0"/>
                            <a:ext cx="866775" cy="365760"/>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147.65</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9</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蓝色光标</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787400" cy="349885"/>
                  <wp:effectExtent l="0" t="0" r="5080" b="635"/>
                  <wp:docPr id="21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9"/>
                          <pic:cNvPicPr>
                            <a:picLocks noChangeAspect="1"/>
                          </pic:cNvPicPr>
                        </pic:nvPicPr>
                        <pic:blipFill>
                          <a:blip r:embed="rId100"/>
                          <a:stretch>
                            <a:fillRect/>
                          </a:stretch>
                        </pic:blipFill>
                        <pic:spPr>
                          <a:xfrm>
                            <a:off x="0" y="0"/>
                            <a:ext cx="787400" cy="349885"/>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124.20</w:t>
            </w:r>
          </w:p>
        </w:tc>
      </w:tr>
      <w:tr w:rsidR="0082679C">
        <w:trPr>
          <w:trHeight w:val="269"/>
          <w:jc w:val="center"/>
        </w:trPr>
        <w:tc>
          <w:tcPr>
            <w:tcW w:w="84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宋体"/>
                <w:color w:val="000000"/>
                <w:kern w:val="0"/>
              </w:rPr>
            </w:pPr>
            <w:r>
              <w:rPr>
                <w:rFonts w:ascii="宋体" w:eastAsia="宋体" w:hAnsi="宋体" w:cs="宋体"/>
                <w:color w:val="000000"/>
                <w:kern w:val="0"/>
              </w:rPr>
              <w:t>10</w:t>
            </w:r>
          </w:p>
        </w:tc>
        <w:tc>
          <w:tcPr>
            <w:tcW w:w="1755"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宋体" w:hint="eastAsia"/>
                <w:color w:val="000000"/>
                <w:kern w:val="0"/>
              </w:rPr>
              <w:t>凤凰传媒</w:t>
            </w:r>
          </w:p>
        </w:tc>
        <w:tc>
          <w:tcPr>
            <w:tcW w:w="3809"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eastAsia="宋体" w:hAnsi="宋体" w:cs="Times New Roman"/>
                <w:color w:val="000000"/>
                <w:kern w:val="0"/>
              </w:rPr>
            </w:pPr>
            <w:r>
              <w:rPr>
                <w:rFonts w:ascii="宋体" w:eastAsia="宋体" w:hAnsi="宋体" w:cs="Times New Roman"/>
                <w:noProof/>
              </w:rPr>
              <w:drawing>
                <wp:inline distT="0" distB="0" distL="114300" distR="114300">
                  <wp:extent cx="246380" cy="349885"/>
                  <wp:effectExtent l="0" t="0" r="12700" b="635"/>
                  <wp:docPr id="21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0"/>
                          <pic:cNvPicPr>
                            <a:picLocks noChangeAspect="1"/>
                          </pic:cNvPicPr>
                        </pic:nvPicPr>
                        <pic:blipFill>
                          <a:blip r:embed="rId109"/>
                          <a:stretch>
                            <a:fillRect/>
                          </a:stretch>
                        </pic:blipFill>
                        <pic:spPr>
                          <a:xfrm>
                            <a:off x="0" y="0"/>
                            <a:ext cx="246380" cy="349885"/>
                          </a:xfrm>
                          <a:prstGeom prst="rect">
                            <a:avLst/>
                          </a:prstGeom>
                          <a:noFill/>
                          <a:ln w="9525">
                            <a:noFill/>
                          </a:ln>
                        </pic:spPr>
                      </pic:pic>
                    </a:graphicData>
                  </a:graphic>
                </wp:inline>
              </w:drawing>
            </w:r>
          </w:p>
        </w:tc>
        <w:tc>
          <w:tcPr>
            <w:tcW w:w="2122" w:type="dxa"/>
            <w:tcBorders>
              <w:top w:val="single" w:sz="4" w:space="0" w:color="auto"/>
              <w:left w:val="single" w:sz="4" w:space="0" w:color="auto"/>
              <w:bottom w:val="single" w:sz="4" w:space="0" w:color="auto"/>
              <w:right w:val="single" w:sz="4" w:space="0" w:color="auto"/>
            </w:tcBorders>
            <w:vAlign w:val="bottom"/>
          </w:tcPr>
          <w:p w:rsidR="0082679C" w:rsidRDefault="0082679C">
            <w:pPr>
              <w:pStyle w:val="afd"/>
              <w:widowControl/>
              <w:numPr>
                <w:ilvl w:val="1"/>
                <w:numId w:val="3"/>
              </w:numPr>
              <w:spacing w:line="300" w:lineRule="auto"/>
              <w:ind w:firstLineChars="0"/>
              <w:jc w:val="center"/>
              <w:rPr>
                <w:rFonts w:ascii="宋体" w:eastAsia="宋体" w:hAnsi="宋体" w:cs="Times New Roman"/>
                <w:color w:val="000000"/>
                <w:kern w:val="0"/>
              </w:rPr>
            </w:pPr>
          </w:p>
        </w:tc>
      </w:tr>
    </w:tbl>
    <w:p w:rsidR="0082679C" w:rsidRDefault="0082679C">
      <w:pPr>
        <w:jc w:val="center"/>
        <w:rPr>
          <w:rFonts w:ascii="宋体" w:eastAsia="宋体" w:hAnsi="宋体" w:cs="Times New Roman"/>
          <w:sz w:val="24"/>
          <w:szCs w:val="24"/>
        </w:rPr>
      </w:pPr>
    </w:p>
    <w:p w:rsidR="0082679C" w:rsidRDefault="00B435E0">
      <w:pPr>
        <w:spacing w:line="300" w:lineRule="auto"/>
        <w:ind w:firstLineChars="200" w:firstLine="420"/>
        <w:rPr>
          <w:rFonts w:ascii="宋体" w:eastAsia="宋体" w:hAnsi="宋体" w:cs="Times New Roman"/>
        </w:rPr>
      </w:pPr>
      <w:r>
        <w:rPr>
          <w:rFonts w:ascii="宋体" w:eastAsia="宋体" w:hAnsi="宋体" w:cs="宋体"/>
        </w:rPr>
        <w:t>2017</w:t>
      </w:r>
      <w:r>
        <w:rPr>
          <w:rFonts w:ascii="宋体" w:eastAsia="宋体" w:hAnsi="宋体" w:cs="宋体" w:hint="eastAsia"/>
        </w:rPr>
        <w:t>沪深上市公司商标品牌价值排行榜文化传媒分榜中，7家上榜企业商标品牌价值有所上升，总额共计2069.28亿元，较</w:t>
      </w:r>
      <w:r>
        <w:rPr>
          <w:rFonts w:ascii="宋体" w:eastAsia="宋体" w:hAnsi="宋体" w:cs="宋体"/>
        </w:rPr>
        <w:t>2016</w:t>
      </w:r>
      <w:r>
        <w:rPr>
          <w:rFonts w:ascii="宋体" w:eastAsia="宋体" w:hAnsi="宋体" w:cs="宋体" w:hint="eastAsia"/>
        </w:rPr>
        <w:t>榜单同比增长9.79</w:t>
      </w:r>
      <w:r>
        <w:rPr>
          <w:rFonts w:ascii="宋体" w:eastAsia="宋体" w:hAnsi="宋体" w:cs="宋体"/>
        </w:rPr>
        <w:t>%</w:t>
      </w:r>
      <w:r>
        <w:rPr>
          <w:rFonts w:ascii="宋体" w:eastAsia="宋体" w:hAnsi="宋体" w:cs="宋体" w:hint="eastAsia"/>
        </w:rPr>
        <w:t>，整体呈上升趋势。</w:t>
      </w:r>
      <w:r>
        <w:rPr>
          <w:rFonts w:ascii="宋体" w:eastAsia="宋体" w:hAnsi="宋体" w:cs="宋体" w:hint="eastAsia"/>
          <w:kern w:val="0"/>
        </w:rPr>
        <w:t>其中，</w:t>
      </w:r>
      <w:r>
        <w:rPr>
          <w:rFonts w:ascii="宋体" w:eastAsia="宋体" w:hAnsi="宋体" w:cs="宋体" w:hint="eastAsia"/>
        </w:rPr>
        <w:t>分众传媒商标品牌价值增长最多，上涨</w:t>
      </w:r>
      <w:r>
        <w:rPr>
          <w:rFonts w:ascii="宋体" w:eastAsia="宋体" w:hAnsi="宋体" w:cs="宋体"/>
        </w:rPr>
        <w:t>31.01</w:t>
      </w:r>
      <w:r>
        <w:rPr>
          <w:rFonts w:ascii="宋体" w:eastAsia="宋体" w:hAnsi="宋体" w:cs="宋体" w:hint="eastAsia"/>
        </w:rPr>
        <w:t>亿元，凤凰传媒增长最快，同比增长26.27</w:t>
      </w:r>
      <w:r>
        <w:rPr>
          <w:rFonts w:ascii="宋体" w:eastAsia="宋体" w:hAnsi="宋体" w:cs="宋体"/>
        </w:rPr>
        <w:t>%</w:t>
      </w:r>
      <w:r>
        <w:rPr>
          <w:rFonts w:ascii="宋体" w:eastAsia="宋体" w:hAnsi="宋体" w:cs="宋体" w:hint="eastAsia"/>
        </w:rPr>
        <w:t>。</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分众传媒、万达电影和东方明珠，在</w:t>
      </w:r>
      <w:r>
        <w:rPr>
          <w:rFonts w:ascii="宋体" w:eastAsia="宋体" w:hAnsi="宋体" w:cs="宋体"/>
        </w:rPr>
        <w:t>2016</w:t>
      </w:r>
      <w:r>
        <w:rPr>
          <w:rFonts w:ascii="宋体" w:eastAsia="宋体" w:hAnsi="宋体" w:cs="宋体" w:hint="eastAsia"/>
        </w:rPr>
        <w:t>年度至</w:t>
      </w:r>
      <w:r>
        <w:rPr>
          <w:rFonts w:ascii="宋体" w:eastAsia="宋体" w:hAnsi="宋体" w:cs="宋体"/>
        </w:rPr>
        <w:t>2017</w:t>
      </w:r>
      <w:r>
        <w:rPr>
          <w:rFonts w:ascii="宋体" w:eastAsia="宋体" w:hAnsi="宋体" w:cs="宋体" w:hint="eastAsia"/>
        </w:rPr>
        <w:t>年度分榜排名中序位不变，仍然分别占据排名第一名、第二名和第三名；完美世界</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榜单，位居第四名，三七互娱</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榜单，位居第六名，中国电影</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榜单，位居第七名，凤凰传媒</w:t>
      </w:r>
      <w:r>
        <w:rPr>
          <w:rFonts w:ascii="宋体" w:hAnsi="宋体" w:cs="宋体" w:hint="eastAsia"/>
          <w:szCs w:val="21"/>
        </w:rPr>
        <w:t>首次进入</w:t>
      </w:r>
      <w:r>
        <w:rPr>
          <w:rFonts w:ascii="宋体" w:eastAsia="宋体" w:hAnsi="宋体" w:cs="宋体"/>
        </w:rPr>
        <w:t>2017</w:t>
      </w:r>
      <w:r>
        <w:rPr>
          <w:rFonts w:ascii="宋体" w:eastAsia="宋体" w:hAnsi="宋体" w:cs="宋体" w:hint="eastAsia"/>
        </w:rPr>
        <w:t>榜单，位居第十名；中南传媒、中文传媒和蓝色光标</w:t>
      </w:r>
      <w:r>
        <w:rPr>
          <w:rFonts w:ascii="宋体" w:eastAsia="宋体" w:hAnsi="宋体" w:cs="宋体"/>
          <w:kern w:val="0"/>
        </w:rPr>
        <w:t>2017</w:t>
      </w:r>
      <w:r>
        <w:rPr>
          <w:rFonts w:ascii="宋体" w:eastAsia="宋体" w:hAnsi="宋体" w:cs="宋体" w:hint="eastAsia"/>
        </w:rPr>
        <w:t>年度</w:t>
      </w:r>
      <w:r>
        <w:rPr>
          <w:rFonts w:ascii="宋体" w:eastAsia="宋体" w:hAnsi="宋体" w:cs="宋体" w:hint="eastAsia"/>
          <w:kern w:val="0"/>
        </w:rPr>
        <w:t>排名</w:t>
      </w:r>
      <w:r>
        <w:rPr>
          <w:rFonts w:ascii="宋体" w:eastAsia="宋体" w:hAnsi="宋体" w:cs="宋体" w:hint="eastAsia"/>
        </w:rPr>
        <w:t>第五名、第八名和第九名。上榜企业及其名次变动明显较大。</w:t>
      </w:r>
    </w:p>
    <w:p w:rsidR="0082679C" w:rsidRDefault="00B435E0">
      <w:pPr>
        <w:spacing w:line="300" w:lineRule="auto"/>
        <w:ind w:firstLineChars="200" w:firstLine="420"/>
        <w:rPr>
          <w:rFonts w:ascii="宋体" w:eastAsia="宋体" w:hAnsi="宋体" w:cs="Times New Roman"/>
        </w:rPr>
      </w:pPr>
      <w:r>
        <w:rPr>
          <w:rFonts w:ascii="宋体" w:eastAsia="宋体" w:hAnsi="宋体" w:cs="宋体" w:hint="eastAsia"/>
        </w:rPr>
        <w:t>文化传媒行业企业商标品牌</w:t>
      </w:r>
      <w:r>
        <w:rPr>
          <w:rFonts w:ascii="宋体" w:eastAsia="宋体" w:hAnsi="宋体" w:cs="宋体" w:hint="eastAsia"/>
          <w:kern w:val="0"/>
        </w:rPr>
        <w:t>价值集中度较高，</w:t>
      </w:r>
      <w:r>
        <w:rPr>
          <w:rFonts w:ascii="宋体" w:eastAsia="宋体" w:hAnsi="宋体" w:cs="宋体" w:hint="eastAsia"/>
        </w:rPr>
        <w:t>分众传媒和万达电影两家企业商标品牌价值超过</w:t>
      </w:r>
      <w:r>
        <w:rPr>
          <w:rFonts w:ascii="宋体" w:eastAsia="宋体" w:hAnsi="宋体" w:cs="宋体"/>
        </w:rPr>
        <w:t>700</w:t>
      </w:r>
      <w:r>
        <w:rPr>
          <w:rFonts w:ascii="宋体" w:eastAsia="宋体" w:hAnsi="宋体" w:cs="宋体" w:hint="eastAsia"/>
        </w:rPr>
        <w:t>亿元，占</w:t>
      </w:r>
      <w:r>
        <w:rPr>
          <w:rFonts w:ascii="宋体" w:eastAsia="宋体" w:hAnsi="宋体" w:cs="宋体" w:hint="eastAsia"/>
          <w:kern w:val="0"/>
        </w:rPr>
        <w:t>上</w:t>
      </w:r>
      <w:r>
        <w:rPr>
          <w:rFonts w:ascii="宋体" w:eastAsia="宋体" w:hAnsi="宋体" w:cs="宋体" w:hint="eastAsia"/>
        </w:rPr>
        <w:t>榜企业商标品牌价值总额的</w:t>
      </w:r>
      <w:r>
        <w:rPr>
          <w:rFonts w:ascii="宋体" w:eastAsia="宋体" w:hAnsi="宋体" w:cs="宋体"/>
        </w:rPr>
        <w:t>36.35%</w:t>
      </w:r>
      <w:r>
        <w:rPr>
          <w:rFonts w:ascii="宋体" w:eastAsia="宋体" w:hAnsi="宋体" w:cs="宋体" w:hint="eastAsia"/>
        </w:rPr>
        <w:t>，</w:t>
      </w:r>
      <w:r>
        <w:rPr>
          <w:rFonts w:ascii="宋体" w:eastAsia="宋体" w:hAnsi="宋体" w:cs="宋体" w:hint="eastAsia"/>
          <w:kern w:val="0"/>
        </w:rPr>
        <w:t>上榜企业商标品牌价值总额占对应上市公司市值总额的比重为</w:t>
      </w:r>
      <w:r>
        <w:rPr>
          <w:rFonts w:ascii="宋体" w:eastAsia="宋体" w:hAnsi="宋体" w:cs="宋体"/>
        </w:rPr>
        <w:t>43.97%</w:t>
      </w:r>
      <w:r>
        <w:rPr>
          <w:rFonts w:ascii="宋体" w:hAnsi="宋体" w:hint="eastAsia"/>
          <w:kern w:val="0"/>
        </w:rPr>
        <w:t>。</w:t>
      </w:r>
      <w:r>
        <w:rPr>
          <w:rFonts w:ascii="宋体" w:eastAsia="宋体" w:hAnsi="宋体" w:cs="宋体" w:hint="eastAsia"/>
          <w:kern w:val="0"/>
        </w:rPr>
        <w:t>大部分</w:t>
      </w:r>
      <w:r>
        <w:rPr>
          <w:rFonts w:ascii="宋体" w:eastAsia="宋体" w:hAnsi="宋体" w:cs="宋体" w:hint="eastAsia"/>
        </w:rPr>
        <w:t>上榜企业总资产</w:t>
      </w:r>
      <w:r>
        <w:rPr>
          <w:rFonts w:ascii="宋体" w:eastAsia="宋体" w:hAnsi="宋体" w:cs="宋体" w:hint="eastAsia"/>
          <w:kern w:val="0"/>
        </w:rPr>
        <w:t>报酬</w:t>
      </w:r>
      <w:r>
        <w:rPr>
          <w:rFonts w:ascii="宋体" w:eastAsia="宋体" w:hAnsi="宋体" w:cs="宋体" w:hint="eastAsia"/>
        </w:rPr>
        <w:t>率</w:t>
      </w:r>
      <w:r>
        <w:rPr>
          <w:rFonts w:ascii="宋体" w:eastAsia="宋体" w:hAnsi="宋体" w:cs="宋体" w:hint="eastAsia"/>
          <w:kern w:val="0"/>
        </w:rPr>
        <w:t>超过</w:t>
      </w:r>
      <w:r>
        <w:rPr>
          <w:rFonts w:ascii="宋体" w:eastAsia="宋体" w:hAnsi="宋体" w:cs="宋体" w:hint="eastAsia"/>
        </w:rPr>
        <w:t>行业平均水平。</w:t>
      </w:r>
    </w:p>
    <w:p w:rsidR="0082679C" w:rsidRDefault="00B435E0">
      <w:pPr>
        <w:pStyle w:val="1"/>
        <w:spacing w:line="300" w:lineRule="auto"/>
        <w:jc w:val="center"/>
        <w:rPr>
          <w:rFonts w:ascii="宋体" w:cs="Times New Roman"/>
          <w:sz w:val="36"/>
          <w:szCs w:val="36"/>
        </w:rPr>
      </w:pPr>
      <w:r>
        <w:rPr>
          <w:rFonts w:ascii="宋体" w:hAnsi="宋体" w:cs="宋体" w:hint="eastAsia"/>
          <w:sz w:val="36"/>
          <w:szCs w:val="36"/>
        </w:rPr>
        <w:t>休闲旅游分榜</w:t>
      </w:r>
    </w:p>
    <w:p w:rsidR="0082679C" w:rsidRDefault="00B435E0">
      <w:pPr>
        <w:pStyle w:val="a6"/>
        <w:tabs>
          <w:tab w:val="left" w:pos="2082"/>
          <w:tab w:val="center" w:pos="4153"/>
        </w:tabs>
        <w:spacing w:beforeLines="50" w:before="156" w:line="300" w:lineRule="auto"/>
        <w:jc w:val="center"/>
        <w:rPr>
          <w:rFonts w:ascii="宋体" w:eastAsia="宋体" w:hAnsi="宋体" w:cs="Times New Roman"/>
          <w:b/>
          <w:bCs/>
          <w:sz w:val="21"/>
          <w:szCs w:val="21"/>
        </w:rPr>
      </w:pPr>
      <w:r>
        <w:rPr>
          <w:rFonts w:ascii="宋体" w:eastAsia="宋体" w:hAnsi="宋体" w:cs="宋体" w:hint="eastAsia"/>
          <w:b/>
          <w:bCs/>
          <w:sz w:val="21"/>
          <w:szCs w:val="21"/>
        </w:rPr>
        <w:t>表</w:t>
      </w:r>
      <w:r>
        <w:rPr>
          <w:rFonts w:ascii="宋体" w:eastAsia="宋体" w:hAnsi="宋体" w:cs="宋体"/>
          <w:b/>
          <w:bCs/>
          <w:sz w:val="21"/>
          <w:szCs w:val="21"/>
        </w:rPr>
        <w:t>1 2017</w:t>
      </w:r>
      <w:r>
        <w:rPr>
          <w:rFonts w:ascii="宋体" w:eastAsia="宋体" w:hAnsi="宋体" w:cs="宋体" w:hint="eastAsia"/>
          <w:b/>
          <w:bCs/>
          <w:sz w:val="21"/>
          <w:szCs w:val="21"/>
        </w:rPr>
        <w:t>年休闲旅游行业商标品牌价值排行</w:t>
      </w:r>
    </w:p>
    <w:tbl>
      <w:tblPr>
        <w:tblW w:w="8516" w:type="dxa"/>
        <w:jc w:val="center"/>
        <w:tblLayout w:type="fixed"/>
        <w:tblLook w:val="04A0" w:firstRow="1" w:lastRow="0" w:firstColumn="1" w:lastColumn="0" w:noHBand="0" w:noVBand="1"/>
      </w:tblPr>
      <w:tblGrid>
        <w:gridCol w:w="843"/>
        <w:gridCol w:w="1599"/>
        <w:gridCol w:w="4112"/>
        <w:gridCol w:w="1962"/>
      </w:tblGrid>
      <w:tr w:rsidR="0082679C">
        <w:trPr>
          <w:trHeight w:val="567"/>
          <w:jc w:val="center"/>
        </w:trPr>
        <w:tc>
          <w:tcPr>
            <w:tcW w:w="843"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lastRenderedPageBreak/>
              <w:t>序号</w:t>
            </w:r>
          </w:p>
        </w:tc>
        <w:tc>
          <w:tcPr>
            <w:tcW w:w="5711"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eastAsia="宋体" w:hAnsi="宋体" w:cs="宋体" w:hint="eastAsia"/>
                <w:b/>
                <w:bCs/>
                <w:color w:val="000000"/>
                <w:kern w:val="0"/>
                <w:szCs w:val="21"/>
              </w:rPr>
              <w:t>上市公司简称</w:t>
            </w:r>
          </w:p>
        </w:tc>
        <w:tc>
          <w:tcPr>
            <w:tcW w:w="1962" w:type="dxa"/>
            <w:tcBorders>
              <w:top w:val="single" w:sz="4" w:space="0" w:color="auto"/>
              <w:left w:val="single" w:sz="4" w:space="0" w:color="auto"/>
              <w:bottom w:val="single" w:sz="4" w:space="0" w:color="auto"/>
              <w:right w:val="single" w:sz="4" w:space="0" w:color="auto"/>
            </w:tcBorders>
            <w:shd w:val="clear" w:color="auto" w:fill="B4C6E7"/>
            <w:vAlign w:val="center"/>
          </w:tcPr>
          <w:p w:rsidR="0082679C" w:rsidRDefault="00B435E0">
            <w:pPr>
              <w:widowControl/>
              <w:spacing w:line="300" w:lineRule="auto"/>
              <w:jc w:val="center"/>
              <w:rPr>
                <w:rFonts w:ascii="宋体" w:cs="Times New Roman"/>
                <w:b/>
                <w:bCs/>
                <w:kern w:val="0"/>
                <w:szCs w:val="21"/>
              </w:rPr>
            </w:pPr>
            <w:r>
              <w:rPr>
                <w:rFonts w:ascii="宋体" w:hAnsi="宋体" w:cs="宋体" w:hint="eastAsia"/>
                <w:b/>
                <w:bCs/>
                <w:kern w:val="0"/>
                <w:szCs w:val="21"/>
              </w:rPr>
              <w:t>商标品牌价值（亿元）</w:t>
            </w:r>
          </w:p>
        </w:tc>
      </w:tr>
      <w:tr w:rsidR="0082679C">
        <w:trPr>
          <w:trHeight w:val="317"/>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中国国旅</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374015" cy="365760"/>
                  <wp:effectExtent l="0" t="0" r="6985" b="0"/>
                  <wp:docPr id="2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1"/>
                          <pic:cNvPicPr>
                            <a:picLocks noChangeAspect="1"/>
                          </pic:cNvPicPr>
                        </pic:nvPicPr>
                        <pic:blipFill>
                          <a:blip r:embed="rId178"/>
                          <a:stretch>
                            <a:fillRect/>
                          </a:stretch>
                        </pic:blipFill>
                        <pic:spPr>
                          <a:xfrm>
                            <a:off x="0" y="0"/>
                            <a:ext cx="374015"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301.41</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锦江股份</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397510" cy="365760"/>
                  <wp:effectExtent l="0" t="0" r="13970" b="0"/>
                  <wp:docPr id="21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2"/>
                          <pic:cNvPicPr>
                            <a:picLocks noChangeAspect="1"/>
                          </pic:cNvPicPr>
                        </pic:nvPicPr>
                        <pic:blipFill>
                          <a:blip r:embed="rId179"/>
                          <a:stretch>
                            <a:fillRect/>
                          </a:stretch>
                        </pic:blipFill>
                        <pic:spPr>
                          <a:xfrm>
                            <a:off x="0" y="0"/>
                            <a:ext cx="397510"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123.02</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中青旅</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081405" cy="365760"/>
                  <wp:effectExtent l="0" t="0" r="635" b="0"/>
                  <wp:docPr id="22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3"/>
                          <pic:cNvPicPr>
                            <a:picLocks noChangeAspect="1"/>
                          </pic:cNvPicPr>
                        </pic:nvPicPr>
                        <pic:blipFill>
                          <a:blip r:embed="rId180"/>
                          <a:stretch>
                            <a:fillRect/>
                          </a:stretch>
                        </pic:blipFill>
                        <pic:spPr>
                          <a:xfrm>
                            <a:off x="0" y="0"/>
                            <a:ext cx="1081405"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100.24</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宋城演艺</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510665" cy="365760"/>
                  <wp:effectExtent l="0" t="0" r="13335" b="0"/>
                  <wp:docPr id="22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4"/>
                          <pic:cNvPicPr>
                            <a:picLocks noChangeAspect="1"/>
                          </pic:cNvPicPr>
                        </pic:nvPicPr>
                        <pic:blipFill>
                          <a:blip r:embed="rId181"/>
                          <a:stretch>
                            <a:fillRect/>
                          </a:stretch>
                        </pic:blipFill>
                        <pic:spPr>
                          <a:xfrm>
                            <a:off x="0" y="0"/>
                            <a:ext cx="1510665"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86.48</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5</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黄山旅游</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636270" cy="365760"/>
                  <wp:effectExtent l="0" t="0" r="3810" b="0"/>
                  <wp:docPr id="2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5"/>
                          <pic:cNvPicPr>
                            <a:picLocks noChangeAspect="1"/>
                          </pic:cNvPicPr>
                        </pic:nvPicPr>
                        <pic:blipFill>
                          <a:blip r:embed="rId182"/>
                          <a:stretch>
                            <a:fillRect/>
                          </a:stretch>
                        </pic:blipFill>
                        <pic:spPr>
                          <a:xfrm>
                            <a:off x="0" y="0"/>
                            <a:ext cx="636270"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61.58</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6</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首旅酒店</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184910" cy="349885"/>
                  <wp:effectExtent l="0" t="0" r="3810" b="635"/>
                  <wp:docPr id="22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6"/>
                          <pic:cNvPicPr>
                            <a:picLocks noChangeAspect="1"/>
                          </pic:cNvPicPr>
                        </pic:nvPicPr>
                        <pic:blipFill>
                          <a:blip r:embed="rId183"/>
                          <a:stretch>
                            <a:fillRect/>
                          </a:stretch>
                        </pic:blipFill>
                        <pic:spPr>
                          <a:xfrm>
                            <a:off x="0" y="0"/>
                            <a:ext cx="1184910" cy="349885"/>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48.12</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7</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腾邦国际</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336040" cy="365760"/>
                  <wp:effectExtent l="0" t="0" r="5080" b="0"/>
                  <wp:docPr id="22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7"/>
                          <pic:cNvPicPr>
                            <a:picLocks noChangeAspect="1"/>
                          </pic:cNvPicPr>
                        </pic:nvPicPr>
                        <pic:blipFill>
                          <a:blip r:embed="rId184"/>
                          <a:stretch>
                            <a:fillRect/>
                          </a:stretch>
                        </pic:blipFill>
                        <pic:spPr>
                          <a:xfrm>
                            <a:off x="0" y="0"/>
                            <a:ext cx="1336040"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41.05</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8</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全聚德</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621790" cy="365760"/>
                  <wp:effectExtent l="0" t="0" r="8890" b="0"/>
                  <wp:docPr id="22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8"/>
                          <pic:cNvPicPr>
                            <a:picLocks noChangeAspect="1"/>
                          </pic:cNvPicPr>
                        </pic:nvPicPr>
                        <pic:blipFill>
                          <a:blip r:embed="rId185"/>
                          <a:stretch>
                            <a:fillRect/>
                          </a:stretch>
                        </pic:blipFill>
                        <pic:spPr>
                          <a:xfrm>
                            <a:off x="0" y="0"/>
                            <a:ext cx="1621790"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38.24</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9</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hint="eastAsia"/>
                <w:color w:val="000000"/>
                <w:kern w:val="0"/>
                <w:szCs w:val="21"/>
              </w:rPr>
              <w:t>峨眉山</w:t>
            </w:r>
            <w:r>
              <w:rPr>
                <w:rFonts w:ascii="宋体" w:hAnsi="宋体" w:cs="宋体"/>
                <w:color w:val="000000"/>
                <w:kern w:val="0"/>
                <w:szCs w:val="21"/>
              </w:rPr>
              <w:t>A</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184910" cy="365760"/>
                  <wp:effectExtent l="0" t="0" r="3810" b="0"/>
                  <wp:docPr id="22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9"/>
                          <pic:cNvPicPr>
                            <a:picLocks noChangeAspect="1"/>
                          </pic:cNvPicPr>
                        </pic:nvPicPr>
                        <pic:blipFill>
                          <a:blip r:embed="rId186"/>
                          <a:stretch>
                            <a:fillRect/>
                          </a:stretch>
                        </pic:blipFill>
                        <pic:spPr>
                          <a:xfrm>
                            <a:off x="0" y="0"/>
                            <a:ext cx="1184910" cy="36576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32.44</w:t>
            </w:r>
          </w:p>
        </w:tc>
      </w:tr>
      <w:tr w:rsidR="0082679C">
        <w:trPr>
          <w:trHeight w:val="279"/>
          <w:jc w:val="center"/>
        </w:trPr>
        <w:tc>
          <w:tcPr>
            <w:tcW w:w="843"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10</w:t>
            </w:r>
          </w:p>
        </w:tc>
        <w:tc>
          <w:tcPr>
            <w:tcW w:w="1599"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cs="Times New Roman"/>
                <w:color w:val="000000"/>
                <w:kern w:val="0"/>
                <w:szCs w:val="21"/>
              </w:rPr>
            </w:pPr>
            <w:r>
              <w:rPr>
                <w:rFonts w:ascii="宋体" w:hAnsi="宋体" w:cs="宋体" w:hint="eastAsia"/>
                <w:color w:val="000000"/>
                <w:kern w:val="0"/>
                <w:szCs w:val="21"/>
              </w:rPr>
              <w:t>众信旅游</w:t>
            </w:r>
          </w:p>
        </w:tc>
        <w:tc>
          <w:tcPr>
            <w:tcW w:w="4112" w:type="dxa"/>
            <w:tcBorders>
              <w:top w:val="single" w:sz="4" w:space="0" w:color="auto"/>
              <w:left w:val="single" w:sz="4" w:space="0" w:color="auto"/>
              <w:bottom w:val="single" w:sz="4" w:space="0" w:color="auto"/>
              <w:right w:val="single" w:sz="4" w:space="0" w:color="auto"/>
            </w:tcBorders>
          </w:tcPr>
          <w:p w:rsidR="0082679C" w:rsidRDefault="00B435E0">
            <w:pPr>
              <w:widowControl/>
              <w:spacing w:line="300" w:lineRule="auto"/>
              <w:jc w:val="center"/>
              <w:rPr>
                <w:rFonts w:ascii="宋体" w:cs="Times New Roman"/>
                <w:color w:val="000000"/>
                <w:kern w:val="0"/>
                <w:szCs w:val="21"/>
              </w:rPr>
            </w:pPr>
            <w:r>
              <w:rPr>
                <w:rFonts w:ascii="宋体" w:cs="Times New Roman"/>
                <w:noProof/>
                <w:szCs w:val="21"/>
              </w:rPr>
              <w:drawing>
                <wp:inline distT="0" distB="0" distL="114300" distR="114300">
                  <wp:extent cx="1153160" cy="341630"/>
                  <wp:effectExtent l="0" t="0" r="5080" b="8890"/>
                  <wp:docPr id="22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00"/>
                          <pic:cNvPicPr>
                            <a:picLocks noChangeAspect="1"/>
                          </pic:cNvPicPr>
                        </pic:nvPicPr>
                        <pic:blipFill>
                          <a:blip r:embed="rId187"/>
                          <a:stretch>
                            <a:fillRect/>
                          </a:stretch>
                        </pic:blipFill>
                        <pic:spPr>
                          <a:xfrm>
                            <a:off x="0" y="0"/>
                            <a:ext cx="1153160" cy="341630"/>
                          </a:xfrm>
                          <a:prstGeom prst="rect">
                            <a:avLst/>
                          </a:prstGeom>
                          <a:noFill/>
                          <a:ln w="9525">
                            <a:noFill/>
                          </a:ln>
                        </pic:spPr>
                      </pic:pic>
                    </a:graphicData>
                  </a:graphic>
                </wp:inline>
              </w:drawing>
            </w:r>
          </w:p>
        </w:tc>
        <w:tc>
          <w:tcPr>
            <w:tcW w:w="1962" w:type="dxa"/>
            <w:tcBorders>
              <w:top w:val="single" w:sz="4" w:space="0" w:color="auto"/>
              <w:left w:val="single" w:sz="4" w:space="0" w:color="auto"/>
              <w:bottom w:val="single" w:sz="4" w:space="0" w:color="auto"/>
              <w:right w:val="single" w:sz="4" w:space="0" w:color="auto"/>
            </w:tcBorders>
            <w:vAlign w:val="center"/>
          </w:tcPr>
          <w:p w:rsidR="0082679C" w:rsidRDefault="00B435E0">
            <w:pPr>
              <w:widowControl/>
              <w:spacing w:line="300" w:lineRule="auto"/>
              <w:jc w:val="center"/>
              <w:rPr>
                <w:rFonts w:ascii="宋体" w:hAnsi="宋体" w:cs="宋体"/>
                <w:color w:val="000000"/>
                <w:kern w:val="0"/>
                <w:szCs w:val="21"/>
              </w:rPr>
            </w:pPr>
            <w:r>
              <w:rPr>
                <w:rFonts w:ascii="宋体" w:hAnsi="宋体" w:cs="宋体"/>
                <w:color w:val="000000"/>
                <w:kern w:val="0"/>
                <w:szCs w:val="21"/>
              </w:rPr>
              <w:t>24.49</w:t>
            </w:r>
          </w:p>
        </w:tc>
      </w:tr>
    </w:tbl>
    <w:p w:rsidR="0082679C" w:rsidRDefault="0082679C">
      <w:pPr>
        <w:jc w:val="center"/>
        <w:rPr>
          <w:rFonts w:ascii="宋体" w:cs="Times New Roman"/>
        </w:rPr>
      </w:pP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szCs w:val="21"/>
        </w:rPr>
        <w:t>2017</w:t>
      </w:r>
      <w:r w:rsidRPr="00D5636E">
        <w:rPr>
          <w:rFonts w:ascii="宋体" w:eastAsia="宋体" w:hAnsi="宋体" w:cs="宋体" w:hint="eastAsia"/>
          <w:szCs w:val="21"/>
        </w:rPr>
        <w:t>沪深上市公司商标品牌价值排行榜休闲旅游分榜</w:t>
      </w:r>
      <w:r w:rsidRPr="00D5636E">
        <w:rPr>
          <w:rFonts w:ascii="宋体" w:eastAsia="宋体" w:hAnsi="宋体" w:cs="宋体" w:hint="eastAsia"/>
          <w:kern w:val="0"/>
          <w:szCs w:val="21"/>
        </w:rPr>
        <w:t>包括旅游业、酒店业、餐饮业等相关服务业，</w:t>
      </w:r>
      <w:r w:rsidRPr="00D5636E">
        <w:rPr>
          <w:rFonts w:ascii="宋体" w:eastAsia="宋体" w:hAnsi="宋体" w:cs="宋体" w:hint="eastAsia"/>
          <w:szCs w:val="21"/>
        </w:rPr>
        <w:t>十家上榜企业商标品牌价值总额共计为</w:t>
      </w:r>
      <w:r w:rsidRPr="00D5636E">
        <w:rPr>
          <w:rFonts w:ascii="宋体" w:eastAsia="宋体" w:hAnsi="宋体" w:cs="宋体"/>
          <w:kern w:val="0"/>
          <w:szCs w:val="21"/>
        </w:rPr>
        <w:t>857.08</w:t>
      </w:r>
      <w:r w:rsidRPr="00D5636E">
        <w:rPr>
          <w:rFonts w:ascii="宋体" w:eastAsia="宋体" w:hAnsi="宋体" w:cs="宋体" w:hint="eastAsia"/>
          <w:szCs w:val="21"/>
        </w:rPr>
        <w:t>亿元，较</w:t>
      </w:r>
      <w:r w:rsidRPr="00D5636E">
        <w:rPr>
          <w:rFonts w:ascii="宋体" w:eastAsia="宋体" w:hAnsi="宋体" w:cs="宋体"/>
          <w:szCs w:val="21"/>
        </w:rPr>
        <w:t>2016</w:t>
      </w:r>
      <w:r w:rsidRPr="00D5636E">
        <w:rPr>
          <w:rFonts w:ascii="宋体" w:eastAsia="宋体" w:hAnsi="宋体" w:cs="宋体" w:hint="eastAsia"/>
          <w:szCs w:val="21"/>
        </w:rPr>
        <w:t>榜单基本保持稳定。</w:t>
      </w:r>
      <w:r w:rsidRPr="00D5636E">
        <w:rPr>
          <w:rFonts w:ascii="宋体" w:eastAsia="宋体" w:hAnsi="宋体" w:cs="宋体" w:hint="eastAsia"/>
          <w:kern w:val="0"/>
          <w:szCs w:val="21"/>
        </w:rPr>
        <w:t>其中，全聚德商标品牌价值增长速度最快，同比增长</w:t>
      </w:r>
      <w:r w:rsidRPr="00D5636E">
        <w:rPr>
          <w:rFonts w:ascii="宋体" w:eastAsia="宋体" w:hAnsi="宋体" w:cs="宋体"/>
          <w:kern w:val="0"/>
          <w:szCs w:val="21"/>
        </w:rPr>
        <w:t>20.86%</w:t>
      </w:r>
      <w:r w:rsidRPr="00D5636E">
        <w:rPr>
          <w:rFonts w:ascii="宋体" w:eastAsia="宋体" w:hAnsi="宋体" w:cs="宋体" w:hint="eastAsia"/>
          <w:kern w:val="0"/>
          <w:szCs w:val="21"/>
        </w:rPr>
        <w:t>。</w:t>
      </w:r>
    </w:p>
    <w:p w:rsidR="0082679C" w:rsidRPr="00D5636E" w:rsidRDefault="00B435E0">
      <w:pPr>
        <w:spacing w:line="300" w:lineRule="auto"/>
        <w:ind w:firstLineChars="200" w:firstLine="420"/>
        <w:rPr>
          <w:rFonts w:ascii="宋体" w:eastAsia="宋体" w:hAnsi="宋体" w:cs="Times New Roman"/>
          <w:szCs w:val="21"/>
        </w:rPr>
      </w:pPr>
      <w:r w:rsidRPr="00D5636E">
        <w:rPr>
          <w:rFonts w:ascii="宋体" w:eastAsia="宋体" w:hAnsi="宋体" w:cs="宋体" w:hint="eastAsia"/>
          <w:kern w:val="0"/>
          <w:szCs w:val="21"/>
        </w:rPr>
        <w:t>中国国旅、锦江股份、黄山旅游和首旅酒店，在</w:t>
      </w:r>
      <w:r w:rsidRPr="00D5636E">
        <w:rPr>
          <w:rFonts w:ascii="宋体" w:eastAsia="宋体" w:hAnsi="宋体" w:cs="宋体"/>
          <w:szCs w:val="21"/>
        </w:rPr>
        <w:t>2016</w:t>
      </w:r>
      <w:r w:rsidRPr="00D5636E">
        <w:rPr>
          <w:rFonts w:ascii="宋体" w:eastAsia="宋体" w:hAnsi="宋体" w:cs="宋体" w:hint="eastAsia"/>
          <w:szCs w:val="21"/>
        </w:rPr>
        <w:t>年度至</w:t>
      </w:r>
      <w:r w:rsidRPr="00D5636E">
        <w:rPr>
          <w:rFonts w:ascii="宋体" w:eastAsia="宋体" w:hAnsi="宋体" w:cs="宋体"/>
          <w:szCs w:val="21"/>
        </w:rPr>
        <w:t>2017</w:t>
      </w:r>
      <w:r w:rsidRPr="00D5636E">
        <w:rPr>
          <w:rFonts w:ascii="宋体" w:eastAsia="宋体" w:hAnsi="宋体" w:cs="宋体" w:hint="eastAsia"/>
          <w:szCs w:val="21"/>
        </w:rPr>
        <w:t>年度分榜排名中序位不变，仍然分别占据排名第一名、第二名、第五名和第六名；</w:t>
      </w:r>
      <w:r w:rsidRPr="00D5636E">
        <w:rPr>
          <w:rFonts w:ascii="宋体" w:eastAsia="宋体" w:hAnsi="宋体" w:cs="宋体" w:hint="eastAsia"/>
          <w:kern w:val="0"/>
          <w:szCs w:val="21"/>
        </w:rPr>
        <w:t>中青旅</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排名第四，</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晋级第三</w:t>
      </w:r>
      <w:r w:rsidRPr="00D5636E">
        <w:rPr>
          <w:rFonts w:ascii="宋体" w:eastAsia="宋体" w:hAnsi="宋体" w:cs="宋体" w:hint="eastAsia"/>
          <w:szCs w:val="21"/>
        </w:rPr>
        <w:t>名</w:t>
      </w:r>
      <w:r w:rsidRPr="00D5636E">
        <w:rPr>
          <w:rFonts w:ascii="宋体" w:eastAsia="宋体" w:hAnsi="宋体" w:cs="宋体" w:hint="eastAsia"/>
          <w:kern w:val="0"/>
          <w:szCs w:val="21"/>
        </w:rPr>
        <w:t>，全聚德</w:t>
      </w:r>
      <w:r w:rsidRPr="00D5636E">
        <w:rPr>
          <w:rFonts w:ascii="宋体" w:eastAsia="宋体" w:hAnsi="宋体" w:cs="宋体"/>
          <w:kern w:val="0"/>
          <w:szCs w:val="21"/>
        </w:rPr>
        <w:t>2016</w:t>
      </w:r>
      <w:r w:rsidRPr="00D5636E">
        <w:rPr>
          <w:rFonts w:ascii="宋体" w:eastAsia="宋体" w:hAnsi="宋体" w:cs="宋体" w:hint="eastAsia"/>
          <w:szCs w:val="21"/>
        </w:rPr>
        <w:t>年度</w:t>
      </w:r>
      <w:r w:rsidRPr="00D5636E">
        <w:rPr>
          <w:rFonts w:ascii="宋体" w:eastAsia="宋体" w:hAnsi="宋体" w:cs="宋体" w:hint="eastAsia"/>
          <w:kern w:val="0"/>
          <w:szCs w:val="21"/>
        </w:rPr>
        <w:t>排名第九，</w:t>
      </w:r>
      <w:r w:rsidRPr="00D5636E">
        <w:rPr>
          <w:rFonts w:ascii="宋体" w:eastAsia="宋体" w:hAnsi="宋体" w:cs="宋体"/>
          <w:kern w:val="0"/>
          <w:szCs w:val="21"/>
        </w:rPr>
        <w:t>2017</w:t>
      </w:r>
      <w:r w:rsidRPr="00D5636E">
        <w:rPr>
          <w:rFonts w:ascii="宋体" w:eastAsia="宋体" w:hAnsi="宋体" w:cs="宋体" w:hint="eastAsia"/>
          <w:szCs w:val="21"/>
        </w:rPr>
        <w:t>年度</w:t>
      </w:r>
      <w:r w:rsidRPr="00D5636E">
        <w:rPr>
          <w:rFonts w:ascii="宋体" w:eastAsia="宋体" w:hAnsi="宋体" w:cs="宋体" w:hint="eastAsia"/>
          <w:kern w:val="0"/>
          <w:szCs w:val="21"/>
        </w:rPr>
        <w:t>晋级第八</w:t>
      </w:r>
      <w:r w:rsidRPr="00D5636E">
        <w:rPr>
          <w:rFonts w:ascii="宋体" w:eastAsia="宋体" w:hAnsi="宋体" w:cs="宋体" w:hint="eastAsia"/>
          <w:szCs w:val="21"/>
        </w:rPr>
        <w:t>名</w:t>
      </w:r>
      <w:r w:rsidRPr="00D5636E">
        <w:rPr>
          <w:rFonts w:ascii="宋体" w:eastAsia="宋体" w:hAnsi="宋体" w:cs="宋体" w:hint="eastAsia"/>
          <w:kern w:val="0"/>
          <w:szCs w:val="21"/>
        </w:rPr>
        <w:t>；腾邦国际和众信旅游</w:t>
      </w:r>
      <w:r w:rsidRPr="00D5636E">
        <w:rPr>
          <w:rFonts w:ascii="宋体" w:eastAsia="宋体" w:hAnsi="宋体" w:cs="宋体" w:hint="eastAsia"/>
          <w:szCs w:val="21"/>
        </w:rPr>
        <w:t>首次进入</w:t>
      </w:r>
      <w:r w:rsidRPr="00D5636E">
        <w:rPr>
          <w:rFonts w:ascii="宋体" w:eastAsia="宋体" w:hAnsi="宋体" w:cs="宋体"/>
          <w:szCs w:val="21"/>
        </w:rPr>
        <w:t>2017</w:t>
      </w:r>
      <w:r w:rsidRPr="00D5636E">
        <w:rPr>
          <w:rFonts w:ascii="宋体" w:eastAsia="宋体" w:hAnsi="宋体" w:cs="宋体" w:hint="eastAsia"/>
          <w:szCs w:val="21"/>
        </w:rPr>
        <w:t>榜单，</w:t>
      </w:r>
      <w:r w:rsidRPr="00D5636E">
        <w:rPr>
          <w:rFonts w:ascii="宋体" w:eastAsia="宋体" w:hAnsi="宋体" w:cs="宋体" w:hint="eastAsia"/>
          <w:kern w:val="0"/>
          <w:szCs w:val="21"/>
        </w:rPr>
        <w:t>分别</w:t>
      </w:r>
      <w:r w:rsidRPr="00D5636E">
        <w:rPr>
          <w:rFonts w:ascii="宋体" w:eastAsia="宋体" w:hAnsi="宋体" w:cs="宋体" w:hint="eastAsia"/>
          <w:szCs w:val="21"/>
        </w:rPr>
        <w:t>位居第七名和第十名；宋城演艺、峨眉山</w:t>
      </w:r>
      <w:r w:rsidRPr="00D5636E">
        <w:rPr>
          <w:rFonts w:ascii="宋体" w:eastAsia="宋体" w:hAnsi="宋体" w:cs="宋体"/>
          <w:szCs w:val="21"/>
        </w:rPr>
        <w:t>A</w:t>
      </w:r>
      <w:r w:rsidRPr="00D5636E">
        <w:rPr>
          <w:rFonts w:ascii="宋体" w:eastAsia="宋体" w:hAnsi="宋体" w:cs="宋体"/>
          <w:kern w:val="0"/>
          <w:szCs w:val="21"/>
        </w:rPr>
        <w:t xml:space="preserve"> 2017</w:t>
      </w:r>
      <w:r w:rsidRPr="00D5636E">
        <w:rPr>
          <w:rFonts w:ascii="宋体" w:eastAsia="宋体" w:hAnsi="宋体" w:cs="宋体" w:hint="eastAsia"/>
          <w:szCs w:val="21"/>
        </w:rPr>
        <w:t>年度</w:t>
      </w:r>
      <w:r w:rsidRPr="00D5636E">
        <w:rPr>
          <w:rFonts w:ascii="宋体" w:eastAsia="宋体" w:hAnsi="宋体" w:cs="宋体" w:hint="eastAsia"/>
          <w:kern w:val="0"/>
          <w:szCs w:val="21"/>
        </w:rPr>
        <w:t>排</w:t>
      </w:r>
      <w:r w:rsidRPr="00D5636E">
        <w:rPr>
          <w:rFonts w:ascii="宋体" w:eastAsia="宋体" w:hAnsi="宋体" w:cs="宋体" w:hint="eastAsia"/>
          <w:szCs w:val="21"/>
        </w:rPr>
        <w:t>名分别为第四名和第九名。</w:t>
      </w:r>
      <w:r w:rsidRPr="00D5636E">
        <w:rPr>
          <w:rFonts w:ascii="宋体" w:eastAsia="宋体" w:hAnsi="宋体" w:cs="宋体"/>
          <w:kern w:val="0"/>
          <w:szCs w:val="21"/>
        </w:rPr>
        <w:t>2017</w:t>
      </w:r>
      <w:r w:rsidRPr="00D5636E">
        <w:rPr>
          <w:rFonts w:ascii="宋体" w:eastAsia="宋体" w:hAnsi="宋体" w:cs="宋体" w:hint="eastAsia"/>
          <w:szCs w:val="21"/>
        </w:rPr>
        <w:t>年度上榜企业及其名次基本趋</w:t>
      </w:r>
      <w:r w:rsidRPr="00D5636E">
        <w:rPr>
          <w:rFonts w:ascii="宋体" w:eastAsia="宋体" w:hAnsi="宋体" w:cs="宋体" w:hint="eastAsia"/>
          <w:kern w:val="0"/>
          <w:szCs w:val="21"/>
        </w:rPr>
        <w:t>稳。</w:t>
      </w:r>
    </w:p>
    <w:p w:rsidR="0082679C" w:rsidRPr="00D5636E" w:rsidRDefault="00B435E0">
      <w:pPr>
        <w:spacing w:line="300" w:lineRule="auto"/>
        <w:ind w:firstLineChars="200" w:firstLine="420"/>
        <w:rPr>
          <w:rFonts w:ascii="宋体" w:eastAsia="宋体" w:hAnsi="宋体" w:cs="Times New Roman"/>
        </w:rPr>
      </w:pPr>
      <w:r w:rsidRPr="00D5636E">
        <w:rPr>
          <w:rFonts w:ascii="宋体" w:eastAsia="宋体" w:hAnsi="宋体" w:cs="宋体" w:hint="eastAsia"/>
          <w:kern w:val="0"/>
          <w:szCs w:val="21"/>
        </w:rPr>
        <w:t>休闲旅游行业企业商标品牌价值集中度很高，排名前三的企业商标品牌价值总值占上榜企业商标品牌价值总额比重为</w:t>
      </w:r>
      <w:r w:rsidRPr="00D5636E">
        <w:rPr>
          <w:rFonts w:ascii="宋体" w:eastAsia="宋体" w:hAnsi="宋体" w:cs="宋体"/>
          <w:kern w:val="0"/>
          <w:szCs w:val="21"/>
        </w:rPr>
        <w:t>61.12%</w:t>
      </w:r>
      <w:r w:rsidRPr="00D5636E">
        <w:rPr>
          <w:rFonts w:ascii="宋体" w:eastAsia="宋体" w:hAnsi="宋体" w:cs="宋体" w:hint="eastAsia"/>
          <w:kern w:val="0"/>
          <w:szCs w:val="21"/>
        </w:rPr>
        <w:t>，上榜企业商标品牌价值总额占对应上市公司市值总额的</w:t>
      </w:r>
      <w:r w:rsidRPr="00D5636E">
        <w:rPr>
          <w:rFonts w:ascii="宋体" w:eastAsia="宋体" w:hAnsi="宋体" w:cs="宋体"/>
          <w:kern w:val="0"/>
          <w:szCs w:val="21"/>
        </w:rPr>
        <w:t>49.17%</w:t>
      </w:r>
      <w:r w:rsidRPr="00D5636E">
        <w:rPr>
          <w:rFonts w:ascii="宋体" w:eastAsia="宋体" w:hAnsi="宋体" w:cs="宋体" w:hint="eastAsia"/>
          <w:kern w:val="0"/>
          <w:szCs w:val="21"/>
        </w:rPr>
        <w:t>。大部分上榜企业总资产报酬率超过行业平均水平。</w:t>
      </w:r>
    </w:p>
    <w:p w:rsidR="0082679C" w:rsidRDefault="0082679C" w:rsidP="00F409CD">
      <w:pPr>
        <w:spacing w:line="300" w:lineRule="auto"/>
        <w:rPr>
          <w:rFonts w:ascii="宋体" w:eastAsia="宋体" w:hAnsi="宋体" w:cs="宋体" w:hint="eastAsia"/>
          <w:b/>
          <w:bCs/>
          <w:sz w:val="44"/>
          <w:szCs w:val="44"/>
        </w:rPr>
      </w:pPr>
    </w:p>
    <w:p w:rsidR="00F409CD" w:rsidRDefault="00F409CD" w:rsidP="00F409CD">
      <w:pPr>
        <w:spacing w:line="300" w:lineRule="auto"/>
        <w:rPr>
          <w:rFonts w:ascii="宋体" w:eastAsia="宋体" w:hAnsi="宋体" w:cs="宋体" w:hint="eastAsia"/>
          <w:b/>
          <w:bCs/>
          <w:sz w:val="44"/>
          <w:szCs w:val="44"/>
        </w:rPr>
      </w:pPr>
    </w:p>
    <w:p w:rsidR="00F409CD" w:rsidRPr="00F409CD" w:rsidRDefault="00F409CD" w:rsidP="00F409CD">
      <w:pPr>
        <w:spacing w:line="300" w:lineRule="auto"/>
        <w:rPr>
          <w:rFonts w:ascii="宋体" w:eastAsia="宋体" w:hAnsi="宋体" w:cs="宋体"/>
          <w:szCs w:val="21"/>
        </w:rPr>
      </w:pPr>
      <w:bookmarkStart w:id="32" w:name="_GoBack"/>
      <w:bookmarkEnd w:id="32"/>
    </w:p>
    <w:sectPr w:rsidR="00F409CD" w:rsidRPr="00F409CD">
      <w:pgSz w:w="11906" w:h="16838"/>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288" w:rsidRDefault="008B3288">
      <w:r>
        <w:separator/>
      </w:r>
    </w:p>
  </w:endnote>
  <w:endnote w:type="continuationSeparator" w:id="0">
    <w:p w:rsidR="008B3288" w:rsidRDefault="008B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charset w:val="00"/>
    <w:family w:val="swiss"/>
    <w:pitch w:val="variable"/>
    <w:sig w:usb0="E0002A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FZSSJW--GB1-0">
    <w:altName w:val="方正舒体"/>
    <w:panose1 w:val="00000000000000000000"/>
    <w:charset w:val="86"/>
    <w:family w:val="auto"/>
    <w:notTrueType/>
    <w:pitch w:val="default"/>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288" w:rsidRDefault="008B3288">
      <w:r>
        <w:separator/>
      </w:r>
    </w:p>
  </w:footnote>
  <w:footnote w:type="continuationSeparator" w:id="0">
    <w:p w:rsidR="008B3288" w:rsidRDefault="008B3288">
      <w:r>
        <w:continuationSeparator/>
      </w:r>
    </w:p>
  </w:footnote>
  <w:footnote w:id="1">
    <w:p w:rsidR="0082679C" w:rsidRDefault="00B435E0">
      <w:pPr>
        <w:pStyle w:val="aa"/>
      </w:pPr>
      <w:r>
        <w:rPr>
          <w:rStyle w:val="ad"/>
        </w:rPr>
        <w:footnoteRef/>
      </w:r>
      <w:r>
        <w:t xml:space="preserve"> </w:t>
      </w:r>
      <w:r>
        <w:rPr>
          <w:rFonts w:hint="eastAsia"/>
        </w:rPr>
        <w:t>赫芬达尔-赫希曼指数（HHI）是一个反映集中度的指标，该指标数值越高代表了该行业的品牌价值越集中于少数企业，领导企业品牌更为强势；反之，该数值越低则表示行业内的品牌竞争更为激烈。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417FF"/>
    <w:multiLevelType w:val="multilevel"/>
    <w:tmpl w:val="122417FF"/>
    <w:lvl w:ilvl="0">
      <w:start w:val="1"/>
      <w:numFmt w:val="bullet"/>
      <w:pStyle w:val="A"/>
      <w:lvlText w:val=""/>
      <w:lvlJc w:val="left"/>
      <w:pPr>
        <w:tabs>
          <w:tab w:val="left" w:pos="0"/>
        </w:tabs>
        <w:ind w:left="0" w:firstLine="0"/>
      </w:pPr>
      <w:rPr>
        <w:rFonts w:ascii="Wingdings" w:hAnsi="Wingdings" w:hint="default"/>
        <w:b w:val="0"/>
        <w:i w:val="0"/>
        <w:color w:val="29458F"/>
        <w:sz w:val="18"/>
        <w:szCs w:val="18"/>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3B736145"/>
    <w:multiLevelType w:val="multilevel"/>
    <w:tmpl w:val="3B736145"/>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1DD5145"/>
    <w:multiLevelType w:val="multilevel"/>
    <w:tmpl w:val="51DD5145"/>
    <w:lvl w:ilvl="0">
      <w:start w:val="113"/>
      <w:numFmt w:val="decimal"/>
      <w:lvlText w:val="%1"/>
      <w:lvlJc w:val="left"/>
      <w:pPr>
        <w:ind w:left="630" w:hanging="630"/>
      </w:pPr>
      <w:rPr>
        <w:rFonts w:hint="default"/>
      </w:rPr>
    </w:lvl>
    <w:lvl w:ilvl="1">
      <w:start w:val="5"/>
      <w:numFmt w:val="decimalZero"/>
      <w:lvlText w:val="%1.%2"/>
      <w:lvlJc w:val="left"/>
      <w:pPr>
        <w:ind w:left="735" w:hanging="63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395"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535" w:hanging="1800"/>
      </w:pPr>
      <w:rPr>
        <w:rFonts w:hint="default"/>
      </w:rPr>
    </w:lvl>
    <w:lvl w:ilvl="8">
      <w:start w:val="1"/>
      <w:numFmt w:val="decimal"/>
      <w:lvlText w:val="%1.%2.%3.%4.%5.%6.%7.%8.%9"/>
      <w:lvlJc w:val="left"/>
      <w:pPr>
        <w:ind w:left="264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210"/>
  <w:drawingGridVerticalSpacing w:val="15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91"/>
    <w:rsid w:val="00000FEE"/>
    <w:rsid w:val="0000100E"/>
    <w:rsid w:val="000013F2"/>
    <w:rsid w:val="00001430"/>
    <w:rsid w:val="00002F78"/>
    <w:rsid w:val="00003D33"/>
    <w:rsid w:val="000041D1"/>
    <w:rsid w:val="00004FB4"/>
    <w:rsid w:val="00006216"/>
    <w:rsid w:val="00007EDF"/>
    <w:rsid w:val="000104DA"/>
    <w:rsid w:val="00011500"/>
    <w:rsid w:val="00011E72"/>
    <w:rsid w:val="000138AD"/>
    <w:rsid w:val="00013D9E"/>
    <w:rsid w:val="000142F1"/>
    <w:rsid w:val="000143C6"/>
    <w:rsid w:val="00017C6B"/>
    <w:rsid w:val="0002091F"/>
    <w:rsid w:val="0002094B"/>
    <w:rsid w:val="00023F39"/>
    <w:rsid w:val="00024A02"/>
    <w:rsid w:val="0002573D"/>
    <w:rsid w:val="00026B5B"/>
    <w:rsid w:val="0003097F"/>
    <w:rsid w:val="00030A65"/>
    <w:rsid w:val="00030D5D"/>
    <w:rsid w:val="000310A7"/>
    <w:rsid w:val="00031D13"/>
    <w:rsid w:val="00033220"/>
    <w:rsid w:val="00034834"/>
    <w:rsid w:val="000349C3"/>
    <w:rsid w:val="00036306"/>
    <w:rsid w:val="00037065"/>
    <w:rsid w:val="0004080C"/>
    <w:rsid w:val="000430A1"/>
    <w:rsid w:val="00045502"/>
    <w:rsid w:val="00045ABC"/>
    <w:rsid w:val="00046FAC"/>
    <w:rsid w:val="000505E1"/>
    <w:rsid w:val="00050727"/>
    <w:rsid w:val="00050A3F"/>
    <w:rsid w:val="00050B5E"/>
    <w:rsid w:val="000571EC"/>
    <w:rsid w:val="000571FB"/>
    <w:rsid w:val="0005736D"/>
    <w:rsid w:val="0005739F"/>
    <w:rsid w:val="000579AD"/>
    <w:rsid w:val="00063292"/>
    <w:rsid w:val="000639D6"/>
    <w:rsid w:val="00064C61"/>
    <w:rsid w:val="00066EE3"/>
    <w:rsid w:val="00067D23"/>
    <w:rsid w:val="00070EF4"/>
    <w:rsid w:val="000717EA"/>
    <w:rsid w:val="00073168"/>
    <w:rsid w:val="000735E2"/>
    <w:rsid w:val="00075890"/>
    <w:rsid w:val="00076421"/>
    <w:rsid w:val="00077B86"/>
    <w:rsid w:val="00077DE0"/>
    <w:rsid w:val="0008083E"/>
    <w:rsid w:val="00081A1F"/>
    <w:rsid w:val="00081C86"/>
    <w:rsid w:val="0008280E"/>
    <w:rsid w:val="00082DB0"/>
    <w:rsid w:val="00083C92"/>
    <w:rsid w:val="0008471E"/>
    <w:rsid w:val="00087AE6"/>
    <w:rsid w:val="00090A36"/>
    <w:rsid w:val="00091702"/>
    <w:rsid w:val="00093603"/>
    <w:rsid w:val="00093ABC"/>
    <w:rsid w:val="0009574E"/>
    <w:rsid w:val="00096A3B"/>
    <w:rsid w:val="00097361"/>
    <w:rsid w:val="000A08F3"/>
    <w:rsid w:val="000A0B33"/>
    <w:rsid w:val="000A247B"/>
    <w:rsid w:val="000A3741"/>
    <w:rsid w:val="000A54AE"/>
    <w:rsid w:val="000B0F2B"/>
    <w:rsid w:val="000B24EA"/>
    <w:rsid w:val="000B29E7"/>
    <w:rsid w:val="000B2B39"/>
    <w:rsid w:val="000B2D2F"/>
    <w:rsid w:val="000B37F2"/>
    <w:rsid w:val="000B3CC0"/>
    <w:rsid w:val="000B4CCB"/>
    <w:rsid w:val="000B6289"/>
    <w:rsid w:val="000C0967"/>
    <w:rsid w:val="000C1BCC"/>
    <w:rsid w:val="000C1D94"/>
    <w:rsid w:val="000C2592"/>
    <w:rsid w:val="000C2611"/>
    <w:rsid w:val="000C2A16"/>
    <w:rsid w:val="000C2A33"/>
    <w:rsid w:val="000C5672"/>
    <w:rsid w:val="000C712F"/>
    <w:rsid w:val="000C7ED3"/>
    <w:rsid w:val="000D319B"/>
    <w:rsid w:val="000D4493"/>
    <w:rsid w:val="000D49E4"/>
    <w:rsid w:val="000D4AFD"/>
    <w:rsid w:val="000D5373"/>
    <w:rsid w:val="000E3D4F"/>
    <w:rsid w:val="000E4770"/>
    <w:rsid w:val="000E6FE5"/>
    <w:rsid w:val="000E7296"/>
    <w:rsid w:val="000E7E9D"/>
    <w:rsid w:val="000F09D4"/>
    <w:rsid w:val="000F4902"/>
    <w:rsid w:val="000F5142"/>
    <w:rsid w:val="000F6438"/>
    <w:rsid w:val="00100049"/>
    <w:rsid w:val="00104CE4"/>
    <w:rsid w:val="001100BB"/>
    <w:rsid w:val="00111547"/>
    <w:rsid w:val="001135FE"/>
    <w:rsid w:val="001136C4"/>
    <w:rsid w:val="00113A29"/>
    <w:rsid w:val="00116148"/>
    <w:rsid w:val="00116DDB"/>
    <w:rsid w:val="0011706A"/>
    <w:rsid w:val="00117F8E"/>
    <w:rsid w:val="00122238"/>
    <w:rsid w:val="001224FB"/>
    <w:rsid w:val="00125AD9"/>
    <w:rsid w:val="00125BF8"/>
    <w:rsid w:val="00130968"/>
    <w:rsid w:val="00130ABF"/>
    <w:rsid w:val="00134D77"/>
    <w:rsid w:val="0013551E"/>
    <w:rsid w:val="001359C0"/>
    <w:rsid w:val="00135BE9"/>
    <w:rsid w:val="00137B9D"/>
    <w:rsid w:val="00144214"/>
    <w:rsid w:val="001457C8"/>
    <w:rsid w:val="00146494"/>
    <w:rsid w:val="001465B8"/>
    <w:rsid w:val="00147586"/>
    <w:rsid w:val="00147C66"/>
    <w:rsid w:val="0015209C"/>
    <w:rsid w:val="001524E8"/>
    <w:rsid w:val="0015336F"/>
    <w:rsid w:val="001534DD"/>
    <w:rsid w:val="0015417C"/>
    <w:rsid w:val="00154C96"/>
    <w:rsid w:val="00157F58"/>
    <w:rsid w:val="00160403"/>
    <w:rsid w:val="00161211"/>
    <w:rsid w:val="00161F76"/>
    <w:rsid w:val="0016246E"/>
    <w:rsid w:val="001631C8"/>
    <w:rsid w:val="00163BDF"/>
    <w:rsid w:val="00164A5E"/>
    <w:rsid w:val="0016517D"/>
    <w:rsid w:val="00165733"/>
    <w:rsid w:val="00165D05"/>
    <w:rsid w:val="0016629F"/>
    <w:rsid w:val="00167867"/>
    <w:rsid w:val="0017252F"/>
    <w:rsid w:val="001733BE"/>
    <w:rsid w:val="00173EA2"/>
    <w:rsid w:val="00174085"/>
    <w:rsid w:val="001777AC"/>
    <w:rsid w:val="0018214C"/>
    <w:rsid w:val="001824A7"/>
    <w:rsid w:val="00182AA6"/>
    <w:rsid w:val="0018482B"/>
    <w:rsid w:val="0018514D"/>
    <w:rsid w:val="00185791"/>
    <w:rsid w:val="00185C85"/>
    <w:rsid w:val="001860DA"/>
    <w:rsid w:val="00186257"/>
    <w:rsid w:val="00186613"/>
    <w:rsid w:val="00187CF6"/>
    <w:rsid w:val="00191AC3"/>
    <w:rsid w:val="001924B3"/>
    <w:rsid w:val="00193B75"/>
    <w:rsid w:val="00194ABC"/>
    <w:rsid w:val="00195562"/>
    <w:rsid w:val="00196A8E"/>
    <w:rsid w:val="00197458"/>
    <w:rsid w:val="001A0DF6"/>
    <w:rsid w:val="001A1225"/>
    <w:rsid w:val="001A1EAE"/>
    <w:rsid w:val="001A2BD1"/>
    <w:rsid w:val="001A3540"/>
    <w:rsid w:val="001A3E7A"/>
    <w:rsid w:val="001A4E0A"/>
    <w:rsid w:val="001A4E40"/>
    <w:rsid w:val="001A5849"/>
    <w:rsid w:val="001A7318"/>
    <w:rsid w:val="001B1944"/>
    <w:rsid w:val="001B19D1"/>
    <w:rsid w:val="001B3ECA"/>
    <w:rsid w:val="001B765A"/>
    <w:rsid w:val="001B7DA4"/>
    <w:rsid w:val="001C1DB3"/>
    <w:rsid w:val="001C3239"/>
    <w:rsid w:val="001C6BBD"/>
    <w:rsid w:val="001D0F95"/>
    <w:rsid w:val="001D14B2"/>
    <w:rsid w:val="001D1854"/>
    <w:rsid w:val="001D18F7"/>
    <w:rsid w:val="001D2FAB"/>
    <w:rsid w:val="001D3AE2"/>
    <w:rsid w:val="001D6F7D"/>
    <w:rsid w:val="001E3668"/>
    <w:rsid w:val="001E4B6F"/>
    <w:rsid w:val="001E772F"/>
    <w:rsid w:val="001E778C"/>
    <w:rsid w:val="001F0DBC"/>
    <w:rsid w:val="001F2721"/>
    <w:rsid w:val="001F4012"/>
    <w:rsid w:val="00200D18"/>
    <w:rsid w:val="00201B49"/>
    <w:rsid w:val="002021AE"/>
    <w:rsid w:val="0020304B"/>
    <w:rsid w:val="00204A3B"/>
    <w:rsid w:val="00205356"/>
    <w:rsid w:val="0020587C"/>
    <w:rsid w:val="002068F7"/>
    <w:rsid w:val="00207A08"/>
    <w:rsid w:val="00210259"/>
    <w:rsid w:val="00210CA5"/>
    <w:rsid w:val="0021539A"/>
    <w:rsid w:val="0021663F"/>
    <w:rsid w:val="00216E39"/>
    <w:rsid w:val="00217B16"/>
    <w:rsid w:val="00220232"/>
    <w:rsid w:val="0022086A"/>
    <w:rsid w:val="002217A0"/>
    <w:rsid w:val="00224B6A"/>
    <w:rsid w:val="0022605E"/>
    <w:rsid w:val="00230090"/>
    <w:rsid w:val="00230CDE"/>
    <w:rsid w:val="00230F0F"/>
    <w:rsid w:val="0023210D"/>
    <w:rsid w:val="00232711"/>
    <w:rsid w:val="00232954"/>
    <w:rsid w:val="002334C4"/>
    <w:rsid w:val="002345C2"/>
    <w:rsid w:val="002356CD"/>
    <w:rsid w:val="00236CEE"/>
    <w:rsid w:val="002379AF"/>
    <w:rsid w:val="002428BC"/>
    <w:rsid w:val="00242F0A"/>
    <w:rsid w:val="0024437F"/>
    <w:rsid w:val="00244D39"/>
    <w:rsid w:val="002452A9"/>
    <w:rsid w:val="002465E4"/>
    <w:rsid w:val="00247680"/>
    <w:rsid w:val="00250FCF"/>
    <w:rsid w:val="00251837"/>
    <w:rsid w:val="0025214E"/>
    <w:rsid w:val="0025267B"/>
    <w:rsid w:val="00252913"/>
    <w:rsid w:val="0025354A"/>
    <w:rsid w:val="00253EA6"/>
    <w:rsid w:val="0025456E"/>
    <w:rsid w:val="00254655"/>
    <w:rsid w:val="002567ED"/>
    <w:rsid w:val="002568C3"/>
    <w:rsid w:val="00257896"/>
    <w:rsid w:val="00257AE5"/>
    <w:rsid w:val="00261012"/>
    <w:rsid w:val="002630AE"/>
    <w:rsid w:val="002640B1"/>
    <w:rsid w:val="00265D0D"/>
    <w:rsid w:val="002669ED"/>
    <w:rsid w:val="002676C8"/>
    <w:rsid w:val="00267782"/>
    <w:rsid w:val="002678E1"/>
    <w:rsid w:val="00270496"/>
    <w:rsid w:val="0027369B"/>
    <w:rsid w:val="00274295"/>
    <w:rsid w:val="00275EB9"/>
    <w:rsid w:val="00276584"/>
    <w:rsid w:val="00276791"/>
    <w:rsid w:val="00277DB7"/>
    <w:rsid w:val="002801BC"/>
    <w:rsid w:val="00280C5E"/>
    <w:rsid w:val="002833A6"/>
    <w:rsid w:val="00284586"/>
    <w:rsid w:val="00286C4D"/>
    <w:rsid w:val="00287B3D"/>
    <w:rsid w:val="00287D2F"/>
    <w:rsid w:val="00290F39"/>
    <w:rsid w:val="00292659"/>
    <w:rsid w:val="00292FD3"/>
    <w:rsid w:val="0029392A"/>
    <w:rsid w:val="0029466B"/>
    <w:rsid w:val="00294CA6"/>
    <w:rsid w:val="00295BDC"/>
    <w:rsid w:val="002970CC"/>
    <w:rsid w:val="00297503"/>
    <w:rsid w:val="002A1C3A"/>
    <w:rsid w:val="002A36F0"/>
    <w:rsid w:val="002A38E9"/>
    <w:rsid w:val="002A3E81"/>
    <w:rsid w:val="002A625B"/>
    <w:rsid w:val="002A6732"/>
    <w:rsid w:val="002B0724"/>
    <w:rsid w:val="002B0C0D"/>
    <w:rsid w:val="002B0C3F"/>
    <w:rsid w:val="002B2AF1"/>
    <w:rsid w:val="002B357E"/>
    <w:rsid w:val="002B4D9E"/>
    <w:rsid w:val="002B4E80"/>
    <w:rsid w:val="002B59B1"/>
    <w:rsid w:val="002B6401"/>
    <w:rsid w:val="002B66DE"/>
    <w:rsid w:val="002B788C"/>
    <w:rsid w:val="002C111C"/>
    <w:rsid w:val="002C1835"/>
    <w:rsid w:val="002C3C6F"/>
    <w:rsid w:val="002C7062"/>
    <w:rsid w:val="002D1E05"/>
    <w:rsid w:val="002D4BC6"/>
    <w:rsid w:val="002D7D79"/>
    <w:rsid w:val="002D7E5E"/>
    <w:rsid w:val="002E067F"/>
    <w:rsid w:val="002E102D"/>
    <w:rsid w:val="002E1307"/>
    <w:rsid w:val="002E1FA6"/>
    <w:rsid w:val="002E2309"/>
    <w:rsid w:val="002E34E2"/>
    <w:rsid w:val="002E559E"/>
    <w:rsid w:val="002E5FF4"/>
    <w:rsid w:val="002E75F6"/>
    <w:rsid w:val="002E768C"/>
    <w:rsid w:val="002F0730"/>
    <w:rsid w:val="002F0903"/>
    <w:rsid w:val="002F1D7C"/>
    <w:rsid w:val="002F2245"/>
    <w:rsid w:val="002F3202"/>
    <w:rsid w:val="002F324F"/>
    <w:rsid w:val="002F33E2"/>
    <w:rsid w:val="002F4219"/>
    <w:rsid w:val="003002DE"/>
    <w:rsid w:val="00302EE9"/>
    <w:rsid w:val="00303A8A"/>
    <w:rsid w:val="00303F79"/>
    <w:rsid w:val="00304560"/>
    <w:rsid w:val="003067F1"/>
    <w:rsid w:val="003136C5"/>
    <w:rsid w:val="00315F71"/>
    <w:rsid w:val="00316252"/>
    <w:rsid w:val="00316278"/>
    <w:rsid w:val="00316EF4"/>
    <w:rsid w:val="0031750A"/>
    <w:rsid w:val="0032059B"/>
    <w:rsid w:val="00320B9B"/>
    <w:rsid w:val="00320ECE"/>
    <w:rsid w:val="00324533"/>
    <w:rsid w:val="00324565"/>
    <w:rsid w:val="00324A83"/>
    <w:rsid w:val="00325FE1"/>
    <w:rsid w:val="00326280"/>
    <w:rsid w:val="00326617"/>
    <w:rsid w:val="00331E16"/>
    <w:rsid w:val="00332AF9"/>
    <w:rsid w:val="00333E3A"/>
    <w:rsid w:val="00334C47"/>
    <w:rsid w:val="00335DFE"/>
    <w:rsid w:val="00337D46"/>
    <w:rsid w:val="00341AF0"/>
    <w:rsid w:val="00341E43"/>
    <w:rsid w:val="00342185"/>
    <w:rsid w:val="003437FC"/>
    <w:rsid w:val="00346E2B"/>
    <w:rsid w:val="00354510"/>
    <w:rsid w:val="0035484C"/>
    <w:rsid w:val="003550BC"/>
    <w:rsid w:val="00355B02"/>
    <w:rsid w:val="0035689B"/>
    <w:rsid w:val="0035767D"/>
    <w:rsid w:val="00362AB6"/>
    <w:rsid w:val="00363530"/>
    <w:rsid w:val="003647FB"/>
    <w:rsid w:val="003658C0"/>
    <w:rsid w:val="00365CE4"/>
    <w:rsid w:val="00366C33"/>
    <w:rsid w:val="00367085"/>
    <w:rsid w:val="00367329"/>
    <w:rsid w:val="003703B6"/>
    <w:rsid w:val="0037163A"/>
    <w:rsid w:val="003718E0"/>
    <w:rsid w:val="00371C62"/>
    <w:rsid w:val="003725B0"/>
    <w:rsid w:val="0037398C"/>
    <w:rsid w:val="00373AA9"/>
    <w:rsid w:val="00373BC2"/>
    <w:rsid w:val="003740D9"/>
    <w:rsid w:val="0037511B"/>
    <w:rsid w:val="003757A4"/>
    <w:rsid w:val="00375C78"/>
    <w:rsid w:val="00377586"/>
    <w:rsid w:val="003779D8"/>
    <w:rsid w:val="00381C61"/>
    <w:rsid w:val="00381D12"/>
    <w:rsid w:val="003839E0"/>
    <w:rsid w:val="00383FB2"/>
    <w:rsid w:val="003840F2"/>
    <w:rsid w:val="00385A9F"/>
    <w:rsid w:val="00387044"/>
    <w:rsid w:val="003871C8"/>
    <w:rsid w:val="00390D16"/>
    <w:rsid w:val="0039152A"/>
    <w:rsid w:val="003934C2"/>
    <w:rsid w:val="003939D9"/>
    <w:rsid w:val="003945C4"/>
    <w:rsid w:val="0039479D"/>
    <w:rsid w:val="003963AB"/>
    <w:rsid w:val="00397678"/>
    <w:rsid w:val="003A02B7"/>
    <w:rsid w:val="003A046E"/>
    <w:rsid w:val="003A083F"/>
    <w:rsid w:val="003A1579"/>
    <w:rsid w:val="003A2911"/>
    <w:rsid w:val="003A2BF2"/>
    <w:rsid w:val="003A3104"/>
    <w:rsid w:val="003A4687"/>
    <w:rsid w:val="003B0F74"/>
    <w:rsid w:val="003B1565"/>
    <w:rsid w:val="003B302A"/>
    <w:rsid w:val="003B41D9"/>
    <w:rsid w:val="003B4650"/>
    <w:rsid w:val="003B495D"/>
    <w:rsid w:val="003B4B76"/>
    <w:rsid w:val="003B7D11"/>
    <w:rsid w:val="003C1CD6"/>
    <w:rsid w:val="003C3AC2"/>
    <w:rsid w:val="003C485C"/>
    <w:rsid w:val="003C4BA9"/>
    <w:rsid w:val="003C6357"/>
    <w:rsid w:val="003C6917"/>
    <w:rsid w:val="003C787E"/>
    <w:rsid w:val="003C7A21"/>
    <w:rsid w:val="003D0C9D"/>
    <w:rsid w:val="003D2CAD"/>
    <w:rsid w:val="003D3375"/>
    <w:rsid w:val="003D6A87"/>
    <w:rsid w:val="003D70BE"/>
    <w:rsid w:val="003D7F5E"/>
    <w:rsid w:val="003E06AC"/>
    <w:rsid w:val="003E0798"/>
    <w:rsid w:val="003E09F5"/>
    <w:rsid w:val="003E1781"/>
    <w:rsid w:val="003E2183"/>
    <w:rsid w:val="003E2814"/>
    <w:rsid w:val="003E3B80"/>
    <w:rsid w:val="003E4399"/>
    <w:rsid w:val="003E4CCB"/>
    <w:rsid w:val="003E4E04"/>
    <w:rsid w:val="003E643B"/>
    <w:rsid w:val="003E7264"/>
    <w:rsid w:val="003E7BBF"/>
    <w:rsid w:val="003F0A76"/>
    <w:rsid w:val="003F1E7D"/>
    <w:rsid w:val="003F6668"/>
    <w:rsid w:val="003F6ABE"/>
    <w:rsid w:val="003F7FF5"/>
    <w:rsid w:val="00400887"/>
    <w:rsid w:val="00400C2D"/>
    <w:rsid w:val="00403939"/>
    <w:rsid w:val="00403F9E"/>
    <w:rsid w:val="004044DE"/>
    <w:rsid w:val="00404502"/>
    <w:rsid w:val="00404A3D"/>
    <w:rsid w:val="00404B81"/>
    <w:rsid w:val="00405817"/>
    <w:rsid w:val="004116DE"/>
    <w:rsid w:val="00413FF7"/>
    <w:rsid w:val="00414365"/>
    <w:rsid w:val="00414558"/>
    <w:rsid w:val="00414B76"/>
    <w:rsid w:val="0041602A"/>
    <w:rsid w:val="00417032"/>
    <w:rsid w:val="00417662"/>
    <w:rsid w:val="00421470"/>
    <w:rsid w:val="00421EBC"/>
    <w:rsid w:val="00423886"/>
    <w:rsid w:val="0042482A"/>
    <w:rsid w:val="00427C46"/>
    <w:rsid w:val="0043012F"/>
    <w:rsid w:val="004307A1"/>
    <w:rsid w:val="00430DD4"/>
    <w:rsid w:val="004316A1"/>
    <w:rsid w:val="00431CB2"/>
    <w:rsid w:val="0043318A"/>
    <w:rsid w:val="00434CC0"/>
    <w:rsid w:val="00435206"/>
    <w:rsid w:val="00435732"/>
    <w:rsid w:val="00436594"/>
    <w:rsid w:val="00440284"/>
    <w:rsid w:val="0044084B"/>
    <w:rsid w:val="00441041"/>
    <w:rsid w:val="00441732"/>
    <w:rsid w:val="004432CF"/>
    <w:rsid w:val="004455BA"/>
    <w:rsid w:val="00447A2E"/>
    <w:rsid w:val="00452484"/>
    <w:rsid w:val="00452D9D"/>
    <w:rsid w:val="0045333C"/>
    <w:rsid w:val="00454B0E"/>
    <w:rsid w:val="00455A09"/>
    <w:rsid w:val="0045648C"/>
    <w:rsid w:val="0045706B"/>
    <w:rsid w:val="0045748D"/>
    <w:rsid w:val="0045757A"/>
    <w:rsid w:val="00457B4E"/>
    <w:rsid w:val="00460097"/>
    <w:rsid w:val="00464644"/>
    <w:rsid w:val="00464C34"/>
    <w:rsid w:val="00465E43"/>
    <w:rsid w:val="00467E07"/>
    <w:rsid w:val="00467F9C"/>
    <w:rsid w:val="00470072"/>
    <w:rsid w:val="004721D1"/>
    <w:rsid w:val="00472362"/>
    <w:rsid w:val="00472569"/>
    <w:rsid w:val="00474948"/>
    <w:rsid w:val="00476BE1"/>
    <w:rsid w:val="00477217"/>
    <w:rsid w:val="00480FD2"/>
    <w:rsid w:val="00481C28"/>
    <w:rsid w:val="004820AA"/>
    <w:rsid w:val="0048235A"/>
    <w:rsid w:val="00483D13"/>
    <w:rsid w:val="004844CB"/>
    <w:rsid w:val="00484740"/>
    <w:rsid w:val="004850E2"/>
    <w:rsid w:val="00485120"/>
    <w:rsid w:val="0048618D"/>
    <w:rsid w:val="0048622F"/>
    <w:rsid w:val="0048656F"/>
    <w:rsid w:val="004874F0"/>
    <w:rsid w:val="004912EF"/>
    <w:rsid w:val="00492DDC"/>
    <w:rsid w:val="0049470D"/>
    <w:rsid w:val="00494EFF"/>
    <w:rsid w:val="00497505"/>
    <w:rsid w:val="004978E0"/>
    <w:rsid w:val="004A0860"/>
    <w:rsid w:val="004A0CB2"/>
    <w:rsid w:val="004A175F"/>
    <w:rsid w:val="004A44C1"/>
    <w:rsid w:val="004A60F3"/>
    <w:rsid w:val="004A6732"/>
    <w:rsid w:val="004A7777"/>
    <w:rsid w:val="004B1396"/>
    <w:rsid w:val="004B6450"/>
    <w:rsid w:val="004B7002"/>
    <w:rsid w:val="004B7861"/>
    <w:rsid w:val="004C1B27"/>
    <w:rsid w:val="004C2C92"/>
    <w:rsid w:val="004C2D9F"/>
    <w:rsid w:val="004C31A8"/>
    <w:rsid w:val="004C3F92"/>
    <w:rsid w:val="004C47D0"/>
    <w:rsid w:val="004C5438"/>
    <w:rsid w:val="004D0225"/>
    <w:rsid w:val="004D500F"/>
    <w:rsid w:val="004D5C15"/>
    <w:rsid w:val="004D7E6E"/>
    <w:rsid w:val="004E0731"/>
    <w:rsid w:val="004E0F4F"/>
    <w:rsid w:val="004E16C1"/>
    <w:rsid w:val="004E2CC5"/>
    <w:rsid w:val="004E306A"/>
    <w:rsid w:val="004E33D7"/>
    <w:rsid w:val="004E39F9"/>
    <w:rsid w:val="004E658C"/>
    <w:rsid w:val="004E74C8"/>
    <w:rsid w:val="004F0071"/>
    <w:rsid w:val="004F0999"/>
    <w:rsid w:val="004F1D11"/>
    <w:rsid w:val="004F2100"/>
    <w:rsid w:val="004F31E5"/>
    <w:rsid w:val="004F36CE"/>
    <w:rsid w:val="004F40B7"/>
    <w:rsid w:val="004F4372"/>
    <w:rsid w:val="004F536F"/>
    <w:rsid w:val="004F53F4"/>
    <w:rsid w:val="004F562E"/>
    <w:rsid w:val="004F5E1C"/>
    <w:rsid w:val="004F65E2"/>
    <w:rsid w:val="004F6B13"/>
    <w:rsid w:val="004F7641"/>
    <w:rsid w:val="004F7B64"/>
    <w:rsid w:val="005005F6"/>
    <w:rsid w:val="005026A1"/>
    <w:rsid w:val="00504CF9"/>
    <w:rsid w:val="0050534C"/>
    <w:rsid w:val="0050594D"/>
    <w:rsid w:val="00505FAC"/>
    <w:rsid w:val="00506F12"/>
    <w:rsid w:val="0050758B"/>
    <w:rsid w:val="00507702"/>
    <w:rsid w:val="00510736"/>
    <w:rsid w:val="005108B8"/>
    <w:rsid w:val="00510ADA"/>
    <w:rsid w:val="00510C32"/>
    <w:rsid w:val="00511841"/>
    <w:rsid w:val="00513737"/>
    <w:rsid w:val="00514B91"/>
    <w:rsid w:val="00523919"/>
    <w:rsid w:val="00524C3C"/>
    <w:rsid w:val="005274A7"/>
    <w:rsid w:val="005276E9"/>
    <w:rsid w:val="00527849"/>
    <w:rsid w:val="005311C8"/>
    <w:rsid w:val="0053428A"/>
    <w:rsid w:val="005367FA"/>
    <w:rsid w:val="00540747"/>
    <w:rsid w:val="00540FD4"/>
    <w:rsid w:val="00541AE5"/>
    <w:rsid w:val="0054227A"/>
    <w:rsid w:val="00543D5A"/>
    <w:rsid w:val="00544C25"/>
    <w:rsid w:val="00545DCA"/>
    <w:rsid w:val="0054790D"/>
    <w:rsid w:val="00551104"/>
    <w:rsid w:val="00552790"/>
    <w:rsid w:val="0055405E"/>
    <w:rsid w:val="00555D4A"/>
    <w:rsid w:val="0055670F"/>
    <w:rsid w:val="00563678"/>
    <w:rsid w:val="00564404"/>
    <w:rsid w:val="00564BAC"/>
    <w:rsid w:val="0056538F"/>
    <w:rsid w:val="00565754"/>
    <w:rsid w:val="005666DA"/>
    <w:rsid w:val="00573004"/>
    <w:rsid w:val="00573103"/>
    <w:rsid w:val="005741F6"/>
    <w:rsid w:val="005745DD"/>
    <w:rsid w:val="00574D57"/>
    <w:rsid w:val="00576640"/>
    <w:rsid w:val="00577022"/>
    <w:rsid w:val="00577A57"/>
    <w:rsid w:val="00581185"/>
    <w:rsid w:val="00581370"/>
    <w:rsid w:val="005818E2"/>
    <w:rsid w:val="00582429"/>
    <w:rsid w:val="00583581"/>
    <w:rsid w:val="00583C3C"/>
    <w:rsid w:val="00583F64"/>
    <w:rsid w:val="00585984"/>
    <w:rsid w:val="00585C10"/>
    <w:rsid w:val="00594553"/>
    <w:rsid w:val="005949D7"/>
    <w:rsid w:val="00595762"/>
    <w:rsid w:val="00597A7F"/>
    <w:rsid w:val="005A1793"/>
    <w:rsid w:val="005A22BF"/>
    <w:rsid w:val="005A2574"/>
    <w:rsid w:val="005A3031"/>
    <w:rsid w:val="005A3EE3"/>
    <w:rsid w:val="005A52A5"/>
    <w:rsid w:val="005A73F4"/>
    <w:rsid w:val="005A7FF3"/>
    <w:rsid w:val="005B13C0"/>
    <w:rsid w:val="005B1571"/>
    <w:rsid w:val="005B2190"/>
    <w:rsid w:val="005B28AA"/>
    <w:rsid w:val="005B3ECE"/>
    <w:rsid w:val="005B4DEE"/>
    <w:rsid w:val="005C0BF6"/>
    <w:rsid w:val="005C11B4"/>
    <w:rsid w:val="005C21E3"/>
    <w:rsid w:val="005C27ED"/>
    <w:rsid w:val="005C553A"/>
    <w:rsid w:val="005C60F5"/>
    <w:rsid w:val="005C7675"/>
    <w:rsid w:val="005D0022"/>
    <w:rsid w:val="005D297F"/>
    <w:rsid w:val="005D2F80"/>
    <w:rsid w:val="005D3304"/>
    <w:rsid w:val="005D374A"/>
    <w:rsid w:val="005D3D52"/>
    <w:rsid w:val="005D4449"/>
    <w:rsid w:val="005D4F55"/>
    <w:rsid w:val="005D54AA"/>
    <w:rsid w:val="005D5514"/>
    <w:rsid w:val="005D5D9D"/>
    <w:rsid w:val="005D699A"/>
    <w:rsid w:val="005D6F37"/>
    <w:rsid w:val="005D744A"/>
    <w:rsid w:val="005E0BE3"/>
    <w:rsid w:val="005E1356"/>
    <w:rsid w:val="005E2475"/>
    <w:rsid w:val="005E2481"/>
    <w:rsid w:val="005E5CEF"/>
    <w:rsid w:val="005E65FE"/>
    <w:rsid w:val="005E6D70"/>
    <w:rsid w:val="005F03CE"/>
    <w:rsid w:val="005F10C9"/>
    <w:rsid w:val="005F11CF"/>
    <w:rsid w:val="005F1221"/>
    <w:rsid w:val="005F1C37"/>
    <w:rsid w:val="005F2158"/>
    <w:rsid w:val="005F352E"/>
    <w:rsid w:val="005F45BD"/>
    <w:rsid w:val="005F4B26"/>
    <w:rsid w:val="005F521A"/>
    <w:rsid w:val="005F58BC"/>
    <w:rsid w:val="00600DC3"/>
    <w:rsid w:val="006011EE"/>
    <w:rsid w:val="006031B3"/>
    <w:rsid w:val="00606C71"/>
    <w:rsid w:val="0060791B"/>
    <w:rsid w:val="00610AA8"/>
    <w:rsid w:val="00610AB1"/>
    <w:rsid w:val="0061424E"/>
    <w:rsid w:val="00615736"/>
    <w:rsid w:val="00615AC3"/>
    <w:rsid w:val="00617BF9"/>
    <w:rsid w:val="006202CF"/>
    <w:rsid w:val="006217E8"/>
    <w:rsid w:val="00621809"/>
    <w:rsid w:val="00621DA6"/>
    <w:rsid w:val="00622951"/>
    <w:rsid w:val="006238C8"/>
    <w:rsid w:val="00624BD9"/>
    <w:rsid w:val="00625824"/>
    <w:rsid w:val="00625CF8"/>
    <w:rsid w:val="0062708F"/>
    <w:rsid w:val="00627421"/>
    <w:rsid w:val="006274AD"/>
    <w:rsid w:val="00630968"/>
    <w:rsid w:val="006310D1"/>
    <w:rsid w:val="006328F8"/>
    <w:rsid w:val="00632C92"/>
    <w:rsid w:val="006333E7"/>
    <w:rsid w:val="0063349E"/>
    <w:rsid w:val="00634E94"/>
    <w:rsid w:val="0063793B"/>
    <w:rsid w:val="006407A2"/>
    <w:rsid w:val="00641AE3"/>
    <w:rsid w:val="00642237"/>
    <w:rsid w:val="00644F13"/>
    <w:rsid w:val="00644F55"/>
    <w:rsid w:val="00646F3D"/>
    <w:rsid w:val="00651562"/>
    <w:rsid w:val="006521CB"/>
    <w:rsid w:val="00653164"/>
    <w:rsid w:val="00653E80"/>
    <w:rsid w:val="00654528"/>
    <w:rsid w:val="00654EF8"/>
    <w:rsid w:val="00655004"/>
    <w:rsid w:val="00655093"/>
    <w:rsid w:val="00656033"/>
    <w:rsid w:val="00656F92"/>
    <w:rsid w:val="006601D5"/>
    <w:rsid w:val="006608E9"/>
    <w:rsid w:val="00660A53"/>
    <w:rsid w:val="006617F3"/>
    <w:rsid w:val="006627EC"/>
    <w:rsid w:val="00662B91"/>
    <w:rsid w:val="00662BF0"/>
    <w:rsid w:val="00663626"/>
    <w:rsid w:val="00663E71"/>
    <w:rsid w:val="00663EEA"/>
    <w:rsid w:val="006649FC"/>
    <w:rsid w:val="00665B88"/>
    <w:rsid w:val="00665EB5"/>
    <w:rsid w:val="00666AB3"/>
    <w:rsid w:val="006700FA"/>
    <w:rsid w:val="00673177"/>
    <w:rsid w:val="006735F1"/>
    <w:rsid w:val="00675E5E"/>
    <w:rsid w:val="00677304"/>
    <w:rsid w:val="00683326"/>
    <w:rsid w:val="00684F38"/>
    <w:rsid w:val="0068714A"/>
    <w:rsid w:val="006914F0"/>
    <w:rsid w:val="00692ABB"/>
    <w:rsid w:val="00693272"/>
    <w:rsid w:val="00695AB8"/>
    <w:rsid w:val="00697480"/>
    <w:rsid w:val="006A1E70"/>
    <w:rsid w:val="006A2684"/>
    <w:rsid w:val="006A3264"/>
    <w:rsid w:val="006A3936"/>
    <w:rsid w:val="006A3BF8"/>
    <w:rsid w:val="006A690F"/>
    <w:rsid w:val="006B0E09"/>
    <w:rsid w:val="006B3CA3"/>
    <w:rsid w:val="006B537A"/>
    <w:rsid w:val="006B5D97"/>
    <w:rsid w:val="006B7D09"/>
    <w:rsid w:val="006C0871"/>
    <w:rsid w:val="006C0FBB"/>
    <w:rsid w:val="006C2478"/>
    <w:rsid w:val="006C38BF"/>
    <w:rsid w:val="006C396A"/>
    <w:rsid w:val="006C39A8"/>
    <w:rsid w:val="006C4D60"/>
    <w:rsid w:val="006C55ED"/>
    <w:rsid w:val="006C5A1D"/>
    <w:rsid w:val="006C62E3"/>
    <w:rsid w:val="006C75F7"/>
    <w:rsid w:val="006D0183"/>
    <w:rsid w:val="006D04B5"/>
    <w:rsid w:val="006D0F4B"/>
    <w:rsid w:val="006D14D0"/>
    <w:rsid w:val="006D1728"/>
    <w:rsid w:val="006D174E"/>
    <w:rsid w:val="006D19CB"/>
    <w:rsid w:val="006D248B"/>
    <w:rsid w:val="006D2DF7"/>
    <w:rsid w:val="006D53F5"/>
    <w:rsid w:val="006D6069"/>
    <w:rsid w:val="006D64E2"/>
    <w:rsid w:val="006D69BA"/>
    <w:rsid w:val="006D69EB"/>
    <w:rsid w:val="006E274A"/>
    <w:rsid w:val="006E322F"/>
    <w:rsid w:val="006E6978"/>
    <w:rsid w:val="006E7778"/>
    <w:rsid w:val="006F00DA"/>
    <w:rsid w:val="006F032B"/>
    <w:rsid w:val="006F053C"/>
    <w:rsid w:val="006F0C65"/>
    <w:rsid w:val="006F205D"/>
    <w:rsid w:val="006F217D"/>
    <w:rsid w:val="006F274C"/>
    <w:rsid w:val="006F2822"/>
    <w:rsid w:val="006F5A4E"/>
    <w:rsid w:val="006F61BC"/>
    <w:rsid w:val="006F6323"/>
    <w:rsid w:val="006F7A18"/>
    <w:rsid w:val="00700112"/>
    <w:rsid w:val="007008A4"/>
    <w:rsid w:val="00700B08"/>
    <w:rsid w:val="007018E2"/>
    <w:rsid w:val="0070293D"/>
    <w:rsid w:val="00703F01"/>
    <w:rsid w:val="007054CB"/>
    <w:rsid w:val="00705ED1"/>
    <w:rsid w:val="00707AB1"/>
    <w:rsid w:val="00707E9A"/>
    <w:rsid w:val="00707EAC"/>
    <w:rsid w:val="00710975"/>
    <w:rsid w:val="00710996"/>
    <w:rsid w:val="00712186"/>
    <w:rsid w:val="007139FA"/>
    <w:rsid w:val="00716BE9"/>
    <w:rsid w:val="00717CAA"/>
    <w:rsid w:val="00721B2F"/>
    <w:rsid w:val="0072326E"/>
    <w:rsid w:val="0072490D"/>
    <w:rsid w:val="0072715A"/>
    <w:rsid w:val="0072739F"/>
    <w:rsid w:val="007322E8"/>
    <w:rsid w:val="007334E2"/>
    <w:rsid w:val="00733B74"/>
    <w:rsid w:val="00735BCD"/>
    <w:rsid w:val="00735C25"/>
    <w:rsid w:val="00742EED"/>
    <w:rsid w:val="00743769"/>
    <w:rsid w:val="00744A7C"/>
    <w:rsid w:val="00745F8B"/>
    <w:rsid w:val="007472AA"/>
    <w:rsid w:val="007528A5"/>
    <w:rsid w:val="00752925"/>
    <w:rsid w:val="0075502B"/>
    <w:rsid w:val="00755AEC"/>
    <w:rsid w:val="00755CD6"/>
    <w:rsid w:val="0075687E"/>
    <w:rsid w:val="007576D6"/>
    <w:rsid w:val="00762C56"/>
    <w:rsid w:val="007656FD"/>
    <w:rsid w:val="00767015"/>
    <w:rsid w:val="00767B76"/>
    <w:rsid w:val="007711F3"/>
    <w:rsid w:val="0077128B"/>
    <w:rsid w:val="0077319F"/>
    <w:rsid w:val="00773D26"/>
    <w:rsid w:val="00773F11"/>
    <w:rsid w:val="007750DC"/>
    <w:rsid w:val="00776095"/>
    <w:rsid w:val="00776FF6"/>
    <w:rsid w:val="007772C4"/>
    <w:rsid w:val="007775DD"/>
    <w:rsid w:val="0078166D"/>
    <w:rsid w:val="00781F69"/>
    <w:rsid w:val="0078351B"/>
    <w:rsid w:val="00783908"/>
    <w:rsid w:val="00787871"/>
    <w:rsid w:val="00790738"/>
    <w:rsid w:val="007916EF"/>
    <w:rsid w:val="00792A9F"/>
    <w:rsid w:val="0079497B"/>
    <w:rsid w:val="007949A7"/>
    <w:rsid w:val="00794A9B"/>
    <w:rsid w:val="00796BCF"/>
    <w:rsid w:val="00796E33"/>
    <w:rsid w:val="007A2081"/>
    <w:rsid w:val="007A36E4"/>
    <w:rsid w:val="007A4A5F"/>
    <w:rsid w:val="007A5016"/>
    <w:rsid w:val="007A5BBE"/>
    <w:rsid w:val="007A5CDD"/>
    <w:rsid w:val="007A5D54"/>
    <w:rsid w:val="007A6427"/>
    <w:rsid w:val="007A7A8B"/>
    <w:rsid w:val="007B163D"/>
    <w:rsid w:val="007B16F2"/>
    <w:rsid w:val="007B1CF4"/>
    <w:rsid w:val="007B1F46"/>
    <w:rsid w:val="007B230E"/>
    <w:rsid w:val="007B2898"/>
    <w:rsid w:val="007B57E0"/>
    <w:rsid w:val="007B6424"/>
    <w:rsid w:val="007B6BED"/>
    <w:rsid w:val="007C0FFD"/>
    <w:rsid w:val="007C31E3"/>
    <w:rsid w:val="007C333B"/>
    <w:rsid w:val="007C544C"/>
    <w:rsid w:val="007C65C1"/>
    <w:rsid w:val="007D2C93"/>
    <w:rsid w:val="007D44D8"/>
    <w:rsid w:val="007D46DB"/>
    <w:rsid w:val="007D4C03"/>
    <w:rsid w:val="007D5F4B"/>
    <w:rsid w:val="007E01EF"/>
    <w:rsid w:val="007E3532"/>
    <w:rsid w:val="007E35F4"/>
    <w:rsid w:val="007E4869"/>
    <w:rsid w:val="007E50DE"/>
    <w:rsid w:val="007E79CA"/>
    <w:rsid w:val="007E7B67"/>
    <w:rsid w:val="007E7F7E"/>
    <w:rsid w:val="007F1668"/>
    <w:rsid w:val="007F189E"/>
    <w:rsid w:val="007F1D1E"/>
    <w:rsid w:val="007F7328"/>
    <w:rsid w:val="00802234"/>
    <w:rsid w:val="00802D4C"/>
    <w:rsid w:val="0080391E"/>
    <w:rsid w:val="00804534"/>
    <w:rsid w:val="00804642"/>
    <w:rsid w:val="00806AE1"/>
    <w:rsid w:val="00810325"/>
    <w:rsid w:val="00810E86"/>
    <w:rsid w:val="008110FB"/>
    <w:rsid w:val="00814079"/>
    <w:rsid w:val="008142ED"/>
    <w:rsid w:val="0081440D"/>
    <w:rsid w:val="008152A2"/>
    <w:rsid w:val="00815606"/>
    <w:rsid w:val="008156C5"/>
    <w:rsid w:val="00815B1A"/>
    <w:rsid w:val="00815DB1"/>
    <w:rsid w:val="00820887"/>
    <w:rsid w:val="00821B73"/>
    <w:rsid w:val="008238FF"/>
    <w:rsid w:val="00824E19"/>
    <w:rsid w:val="008250C8"/>
    <w:rsid w:val="0082679C"/>
    <w:rsid w:val="00826AF8"/>
    <w:rsid w:val="00830BFB"/>
    <w:rsid w:val="00831884"/>
    <w:rsid w:val="00840F14"/>
    <w:rsid w:val="00841457"/>
    <w:rsid w:val="00841C38"/>
    <w:rsid w:val="00842EC4"/>
    <w:rsid w:val="00843C25"/>
    <w:rsid w:val="0084681E"/>
    <w:rsid w:val="0085005D"/>
    <w:rsid w:val="00852257"/>
    <w:rsid w:val="008523C2"/>
    <w:rsid w:val="00854624"/>
    <w:rsid w:val="00854F70"/>
    <w:rsid w:val="00857932"/>
    <w:rsid w:val="00857E28"/>
    <w:rsid w:val="00861C9A"/>
    <w:rsid w:val="008644A8"/>
    <w:rsid w:val="0086532D"/>
    <w:rsid w:val="00867926"/>
    <w:rsid w:val="00871380"/>
    <w:rsid w:val="00872660"/>
    <w:rsid w:val="008759D7"/>
    <w:rsid w:val="00877CA2"/>
    <w:rsid w:val="00881B1C"/>
    <w:rsid w:val="00882619"/>
    <w:rsid w:val="0088492C"/>
    <w:rsid w:val="008856FA"/>
    <w:rsid w:val="008860DD"/>
    <w:rsid w:val="00887075"/>
    <w:rsid w:val="0089469F"/>
    <w:rsid w:val="00894849"/>
    <w:rsid w:val="00895228"/>
    <w:rsid w:val="00895AED"/>
    <w:rsid w:val="0089606C"/>
    <w:rsid w:val="00896A80"/>
    <w:rsid w:val="00897732"/>
    <w:rsid w:val="008979D8"/>
    <w:rsid w:val="00897B20"/>
    <w:rsid w:val="008A0FF6"/>
    <w:rsid w:val="008A342D"/>
    <w:rsid w:val="008A5D6D"/>
    <w:rsid w:val="008A7DAA"/>
    <w:rsid w:val="008B1431"/>
    <w:rsid w:val="008B1FF6"/>
    <w:rsid w:val="008B22D0"/>
    <w:rsid w:val="008B3288"/>
    <w:rsid w:val="008B5591"/>
    <w:rsid w:val="008C0C99"/>
    <w:rsid w:val="008C1046"/>
    <w:rsid w:val="008C1519"/>
    <w:rsid w:val="008C1549"/>
    <w:rsid w:val="008C4CA4"/>
    <w:rsid w:val="008C5794"/>
    <w:rsid w:val="008C6450"/>
    <w:rsid w:val="008D1472"/>
    <w:rsid w:val="008D33E7"/>
    <w:rsid w:val="008D3DCB"/>
    <w:rsid w:val="008D4AA7"/>
    <w:rsid w:val="008D59E7"/>
    <w:rsid w:val="008D79CE"/>
    <w:rsid w:val="008D7E13"/>
    <w:rsid w:val="008D7EBC"/>
    <w:rsid w:val="008E03C0"/>
    <w:rsid w:val="008E0E24"/>
    <w:rsid w:val="008E1163"/>
    <w:rsid w:val="008E1757"/>
    <w:rsid w:val="008E2105"/>
    <w:rsid w:val="008E2F33"/>
    <w:rsid w:val="008E4240"/>
    <w:rsid w:val="008E5CD9"/>
    <w:rsid w:val="008E7947"/>
    <w:rsid w:val="008E79A3"/>
    <w:rsid w:val="008F0468"/>
    <w:rsid w:val="008F13EA"/>
    <w:rsid w:val="008F226F"/>
    <w:rsid w:val="008F3249"/>
    <w:rsid w:val="008F3517"/>
    <w:rsid w:val="008F3A30"/>
    <w:rsid w:val="008F3E9B"/>
    <w:rsid w:val="008F4848"/>
    <w:rsid w:val="008F4A9B"/>
    <w:rsid w:val="008F563B"/>
    <w:rsid w:val="008F5FEE"/>
    <w:rsid w:val="008F7DD2"/>
    <w:rsid w:val="00902886"/>
    <w:rsid w:val="00903E57"/>
    <w:rsid w:val="009041CC"/>
    <w:rsid w:val="00904A00"/>
    <w:rsid w:val="00904FF6"/>
    <w:rsid w:val="00906178"/>
    <w:rsid w:val="00906A40"/>
    <w:rsid w:val="00910CD5"/>
    <w:rsid w:val="00912622"/>
    <w:rsid w:val="00912952"/>
    <w:rsid w:val="00912A82"/>
    <w:rsid w:val="00912BC7"/>
    <w:rsid w:val="009142C3"/>
    <w:rsid w:val="00914A17"/>
    <w:rsid w:val="009175E0"/>
    <w:rsid w:val="00920699"/>
    <w:rsid w:val="00920AD9"/>
    <w:rsid w:val="00920E4C"/>
    <w:rsid w:val="00921DA0"/>
    <w:rsid w:val="00923CDB"/>
    <w:rsid w:val="00924BF3"/>
    <w:rsid w:val="00924EE4"/>
    <w:rsid w:val="00924FDF"/>
    <w:rsid w:val="009252D1"/>
    <w:rsid w:val="009257AE"/>
    <w:rsid w:val="0092651F"/>
    <w:rsid w:val="0092661F"/>
    <w:rsid w:val="00926EFE"/>
    <w:rsid w:val="00927704"/>
    <w:rsid w:val="009325DD"/>
    <w:rsid w:val="009351C4"/>
    <w:rsid w:val="00935ECE"/>
    <w:rsid w:val="00937641"/>
    <w:rsid w:val="00940899"/>
    <w:rsid w:val="00940FC8"/>
    <w:rsid w:val="00942373"/>
    <w:rsid w:val="009427C9"/>
    <w:rsid w:val="00943CBC"/>
    <w:rsid w:val="0094419D"/>
    <w:rsid w:val="0094466A"/>
    <w:rsid w:val="009456E4"/>
    <w:rsid w:val="00946840"/>
    <w:rsid w:val="0094745C"/>
    <w:rsid w:val="00947634"/>
    <w:rsid w:val="009501D0"/>
    <w:rsid w:val="00951CA0"/>
    <w:rsid w:val="00953D5D"/>
    <w:rsid w:val="0095443F"/>
    <w:rsid w:val="00954C6B"/>
    <w:rsid w:val="009551C5"/>
    <w:rsid w:val="009606B1"/>
    <w:rsid w:val="0096155B"/>
    <w:rsid w:val="009618C7"/>
    <w:rsid w:val="0096195D"/>
    <w:rsid w:val="009620B6"/>
    <w:rsid w:val="0096400B"/>
    <w:rsid w:val="00966423"/>
    <w:rsid w:val="00967544"/>
    <w:rsid w:val="00970637"/>
    <w:rsid w:val="00972234"/>
    <w:rsid w:val="00972BCD"/>
    <w:rsid w:val="00972E73"/>
    <w:rsid w:val="00973BFC"/>
    <w:rsid w:val="00974531"/>
    <w:rsid w:val="0097454A"/>
    <w:rsid w:val="00975568"/>
    <w:rsid w:val="0097629B"/>
    <w:rsid w:val="00976562"/>
    <w:rsid w:val="00976EB6"/>
    <w:rsid w:val="00981AED"/>
    <w:rsid w:val="009829A0"/>
    <w:rsid w:val="00982A8F"/>
    <w:rsid w:val="00983703"/>
    <w:rsid w:val="00983CC0"/>
    <w:rsid w:val="0098442E"/>
    <w:rsid w:val="0098682A"/>
    <w:rsid w:val="00990FF5"/>
    <w:rsid w:val="00991BB7"/>
    <w:rsid w:val="0099248D"/>
    <w:rsid w:val="0099374B"/>
    <w:rsid w:val="00993F30"/>
    <w:rsid w:val="0099518F"/>
    <w:rsid w:val="00995BB2"/>
    <w:rsid w:val="009970CF"/>
    <w:rsid w:val="009978F4"/>
    <w:rsid w:val="009A0931"/>
    <w:rsid w:val="009A0DA5"/>
    <w:rsid w:val="009A0DEA"/>
    <w:rsid w:val="009A4273"/>
    <w:rsid w:val="009A45DF"/>
    <w:rsid w:val="009A7EF0"/>
    <w:rsid w:val="009B3C7F"/>
    <w:rsid w:val="009B4810"/>
    <w:rsid w:val="009B4862"/>
    <w:rsid w:val="009B5786"/>
    <w:rsid w:val="009B6114"/>
    <w:rsid w:val="009B72D5"/>
    <w:rsid w:val="009B780D"/>
    <w:rsid w:val="009B7830"/>
    <w:rsid w:val="009C0B3A"/>
    <w:rsid w:val="009C32D1"/>
    <w:rsid w:val="009C34C8"/>
    <w:rsid w:val="009C3633"/>
    <w:rsid w:val="009C46E8"/>
    <w:rsid w:val="009C561A"/>
    <w:rsid w:val="009C6BB3"/>
    <w:rsid w:val="009D062E"/>
    <w:rsid w:val="009D0AB6"/>
    <w:rsid w:val="009D2D60"/>
    <w:rsid w:val="009D3984"/>
    <w:rsid w:val="009D54EF"/>
    <w:rsid w:val="009D70C6"/>
    <w:rsid w:val="009D7D28"/>
    <w:rsid w:val="009E08E7"/>
    <w:rsid w:val="009E3CCB"/>
    <w:rsid w:val="009E4C05"/>
    <w:rsid w:val="009E5340"/>
    <w:rsid w:val="009E5813"/>
    <w:rsid w:val="009E5CE8"/>
    <w:rsid w:val="009E5D5F"/>
    <w:rsid w:val="009E61AA"/>
    <w:rsid w:val="009E6C8E"/>
    <w:rsid w:val="009F3760"/>
    <w:rsid w:val="009F3E19"/>
    <w:rsid w:val="009F43EE"/>
    <w:rsid w:val="00A001BB"/>
    <w:rsid w:val="00A02E57"/>
    <w:rsid w:val="00A03B22"/>
    <w:rsid w:val="00A04529"/>
    <w:rsid w:val="00A0688F"/>
    <w:rsid w:val="00A069B5"/>
    <w:rsid w:val="00A06D98"/>
    <w:rsid w:val="00A076BD"/>
    <w:rsid w:val="00A076FE"/>
    <w:rsid w:val="00A11685"/>
    <w:rsid w:val="00A120EE"/>
    <w:rsid w:val="00A122E5"/>
    <w:rsid w:val="00A135A1"/>
    <w:rsid w:val="00A14014"/>
    <w:rsid w:val="00A14676"/>
    <w:rsid w:val="00A15256"/>
    <w:rsid w:val="00A154F6"/>
    <w:rsid w:val="00A16775"/>
    <w:rsid w:val="00A169E4"/>
    <w:rsid w:val="00A21C08"/>
    <w:rsid w:val="00A231D2"/>
    <w:rsid w:val="00A23290"/>
    <w:rsid w:val="00A23385"/>
    <w:rsid w:val="00A25F62"/>
    <w:rsid w:val="00A26168"/>
    <w:rsid w:val="00A271B6"/>
    <w:rsid w:val="00A27FAE"/>
    <w:rsid w:val="00A31DEF"/>
    <w:rsid w:val="00A3369E"/>
    <w:rsid w:val="00A33BCA"/>
    <w:rsid w:val="00A34B79"/>
    <w:rsid w:val="00A34FAB"/>
    <w:rsid w:val="00A35282"/>
    <w:rsid w:val="00A35A81"/>
    <w:rsid w:val="00A36308"/>
    <w:rsid w:val="00A366A8"/>
    <w:rsid w:val="00A37C6E"/>
    <w:rsid w:val="00A40FC9"/>
    <w:rsid w:val="00A41D76"/>
    <w:rsid w:val="00A41DF3"/>
    <w:rsid w:val="00A423BE"/>
    <w:rsid w:val="00A434FE"/>
    <w:rsid w:val="00A44289"/>
    <w:rsid w:val="00A45446"/>
    <w:rsid w:val="00A45FDC"/>
    <w:rsid w:val="00A465BB"/>
    <w:rsid w:val="00A47534"/>
    <w:rsid w:val="00A5045B"/>
    <w:rsid w:val="00A50F60"/>
    <w:rsid w:val="00A5181D"/>
    <w:rsid w:val="00A518E0"/>
    <w:rsid w:val="00A5230D"/>
    <w:rsid w:val="00A56BCD"/>
    <w:rsid w:val="00A57B38"/>
    <w:rsid w:val="00A61D85"/>
    <w:rsid w:val="00A62441"/>
    <w:rsid w:val="00A62DF2"/>
    <w:rsid w:val="00A63B4F"/>
    <w:rsid w:val="00A651E2"/>
    <w:rsid w:val="00A700A7"/>
    <w:rsid w:val="00A729DE"/>
    <w:rsid w:val="00A72B39"/>
    <w:rsid w:val="00A72EA1"/>
    <w:rsid w:val="00A74F42"/>
    <w:rsid w:val="00A76C6F"/>
    <w:rsid w:val="00A772CA"/>
    <w:rsid w:val="00A7756A"/>
    <w:rsid w:val="00A77B69"/>
    <w:rsid w:val="00A81B22"/>
    <w:rsid w:val="00A832DC"/>
    <w:rsid w:val="00A8368C"/>
    <w:rsid w:val="00A84DA2"/>
    <w:rsid w:val="00A853A1"/>
    <w:rsid w:val="00A856DD"/>
    <w:rsid w:val="00A85E3E"/>
    <w:rsid w:val="00A86CB2"/>
    <w:rsid w:val="00A873DD"/>
    <w:rsid w:val="00A9049A"/>
    <w:rsid w:val="00A910D1"/>
    <w:rsid w:val="00A925CF"/>
    <w:rsid w:val="00A9376C"/>
    <w:rsid w:val="00A93AC1"/>
    <w:rsid w:val="00A93CA9"/>
    <w:rsid w:val="00A940BF"/>
    <w:rsid w:val="00A95AC2"/>
    <w:rsid w:val="00A961FE"/>
    <w:rsid w:val="00A96EE3"/>
    <w:rsid w:val="00A97299"/>
    <w:rsid w:val="00AA25B5"/>
    <w:rsid w:val="00AA28FF"/>
    <w:rsid w:val="00AA2D32"/>
    <w:rsid w:val="00AA4F86"/>
    <w:rsid w:val="00AA5328"/>
    <w:rsid w:val="00AA5589"/>
    <w:rsid w:val="00AA57B0"/>
    <w:rsid w:val="00AB011C"/>
    <w:rsid w:val="00AB0692"/>
    <w:rsid w:val="00AB0847"/>
    <w:rsid w:val="00AB2243"/>
    <w:rsid w:val="00AB3243"/>
    <w:rsid w:val="00AB5DD2"/>
    <w:rsid w:val="00AC2133"/>
    <w:rsid w:val="00AC2506"/>
    <w:rsid w:val="00AC255D"/>
    <w:rsid w:val="00AC2577"/>
    <w:rsid w:val="00AC2AF9"/>
    <w:rsid w:val="00AC5D8E"/>
    <w:rsid w:val="00AC71B5"/>
    <w:rsid w:val="00AC7461"/>
    <w:rsid w:val="00AD0B69"/>
    <w:rsid w:val="00AD13A1"/>
    <w:rsid w:val="00AD17B6"/>
    <w:rsid w:val="00AD2706"/>
    <w:rsid w:val="00AD2A9E"/>
    <w:rsid w:val="00AD3157"/>
    <w:rsid w:val="00AD3999"/>
    <w:rsid w:val="00AD3B14"/>
    <w:rsid w:val="00AD4443"/>
    <w:rsid w:val="00AD615C"/>
    <w:rsid w:val="00AD64BE"/>
    <w:rsid w:val="00AD6905"/>
    <w:rsid w:val="00AD7299"/>
    <w:rsid w:val="00AE21CF"/>
    <w:rsid w:val="00AE289F"/>
    <w:rsid w:val="00AE2D7B"/>
    <w:rsid w:val="00AE426F"/>
    <w:rsid w:val="00AE4888"/>
    <w:rsid w:val="00AE6D6D"/>
    <w:rsid w:val="00AE6E81"/>
    <w:rsid w:val="00AF30BC"/>
    <w:rsid w:val="00AF3170"/>
    <w:rsid w:val="00AF466C"/>
    <w:rsid w:val="00AF4F97"/>
    <w:rsid w:val="00AF7A0A"/>
    <w:rsid w:val="00AF7EBD"/>
    <w:rsid w:val="00B003FD"/>
    <w:rsid w:val="00B006FD"/>
    <w:rsid w:val="00B0170C"/>
    <w:rsid w:val="00B0295B"/>
    <w:rsid w:val="00B03A8C"/>
    <w:rsid w:val="00B03DB7"/>
    <w:rsid w:val="00B0503F"/>
    <w:rsid w:val="00B05AD4"/>
    <w:rsid w:val="00B06048"/>
    <w:rsid w:val="00B1393F"/>
    <w:rsid w:val="00B14515"/>
    <w:rsid w:val="00B1504A"/>
    <w:rsid w:val="00B15220"/>
    <w:rsid w:val="00B15454"/>
    <w:rsid w:val="00B171D9"/>
    <w:rsid w:val="00B17ED3"/>
    <w:rsid w:val="00B21A46"/>
    <w:rsid w:val="00B22268"/>
    <w:rsid w:val="00B234F0"/>
    <w:rsid w:val="00B23A82"/>
    <w:rsid w:val="00B24216"/>
    <w:rsid w:val="00B24309"/>
    <w:rsid w:val="00B24559"/>
    <w:rsid w:val="00B2613F"/>
    <w:rsid w:val="00B27631"/>
    <w:rsid w:val="00B302BE"/>
    <w:rsid w:val="00B31556"/>
    <w:rsid w:val="00B32978"/>
    <w:rsid w:val="00B3392F"/>
    <w:rsid w:val="00B34E50"/>
    <w:rsid w:val="00B35F4C"/>
    <w:rsid w:val="00B36576"/>
    <w:rsid w:val="00B40E85"/>
    <w:rsid w:val="00B435E0"/>
    <w:rsid w:val="00B45EA2"/>
    <w:rsid w:val="00B46742"/>
    <w:rsid w:val="00B469FE"/>
    <w:rsid w:val="00B475EC"/>
    <w:rsid w:val="00B4775D"/>
    <w:rsid w:val="00B479DD"/>
    <w:rsid w:val="00B51C77"/>
    <w:rsid w:val="00B5385E"/>
    <w:rsid w:val="00B5591D"/>
    <w:rsid w:val="00B55ED9"/>
    <w:rsid w:val="00B57666"/>
    <w:rsid w:val="00B5769C"/>
    <w:rsid w:val="00B57CD3"/>
    <w:rsid w:val="00B601E3"/>
    <w:rsid w:val="00B60346"/>
    <w:rsid w:val="00B64CA8"/>
    <w:rsid w:val="00B65CD5"/>
    <w:rsid w:val="00B66C9E"/>
    <w:rsid w:val="00B70BC4"/>
    <w:rsid w:val="00B719AD"/>
    <w:rsid w:val="00B7281C"/>
    <w:rsid w:val="00B74B35"/>
    <w:rsid w:val="00B7690C"/>
    <w:rsid w:val="00B810FF"/>
    <w:rsid w:val="00B8214D"/>
    <w:rsid w:val="00B83B6F"/>
    <w:rsid w:val="00B8536D"/>
    <w:rsid w:val="00B8573F"/>
    <w:rsid w:val="00B86E92"/>
    <w:rsid w:val="00B874AE"/>
    <w:rsid w:val="00B909BF"/>
    <w:rsid w:val="00B9118C"/>
    <w:rsid w:val="00B91737"/>
    <w:rsid w:val="00B93A3F"/>
    <w:rsid w:val="00B93F04"/>
    <w:rsid w:val="00B943B4"/>
    <w:rsid w:val="00B950FD"/>
    <w:rsid w:val="00B953ED"/>
    <w:rsid w:val="00B9673A"/>
    <w:rsid w:val="00BA1258"/>
    <w:rsid w:val="00BA3997"/>
    <w:rsid w:val="00BA3A4D"/>
    <w:rsid w:val="00BA3AEC"/>
    <w:rsid w:val="00BA3F04"/>
    <w:rsid w:val="00BA470F"/>
    <w:rsid w:val="00BB0600"/>
    <w:rsid w:val="00BB0CC2"/>
    <w:rsid w:val="00BB1908"/>
    <w:rsid w:val="00BB33BC"/>
    <w:rsid w:val="00BB5C04"/>
    <w:rsid w:val="00BC05AA"/>
    <w:rsid w:val="00BC0A55"/>
    <w:rsid w:val="00BC0E66"/>
    <w:rsid w:val="00BC11FD"/>
    <w:rsid w:val="00BC146B"/>
    <w:rsid w:val="00BC165A"/>
    <w:rsid w:val="00BC2F74"/>
    <w:rsid w:val="00BC3428"/>
    <w:rsid w:val="00BC3C85"/>
    <w:rsid w:val="00BC46DD"/>
    <w:rsid w:val="00BC5018"/>
    <w:rsid w:val="00BC5790"/>
    <w:rsid w:val="00BC6478"/>
    <w:rsid w:val="00BC69E4"/>
    <w:rsid w:val="00BD05E5"/>
    <w:rsid w:val="00BD07B0"/>
    <w:rsid w:val="00BD1977"/>
    <w:rsid w:val="00BD209E"/>
    <w:rsid w:val="00BD4305"/>
    <w:rsid w:val="00BD5B9A"/>
    <w:rsid w:val="00BD5C5A"/>
    <w:rsid w:val="00BD7033"/>
    <w:rsid w:val="00BE0B74"/>
    <w:rsid w:val="00BE0D5F"/>
    <w:rsid w:val="00BE0DE6"/>
    <w:rsid w:val="00BE4EA9"/>
    <w:rsid w:val="00BE51EA"/>
    <w:rsid w:val="00BE5CC5"/>
    <w:rsid w:val="00BF03AE"/>
    <w:rsid w:val="00BF0B48"/>
    <w:rsid w:val="00BF1F5A"/>
    <w:rsid w:val="00BF2052"/>
    <w:rsid w:val="00BF20BB"/>
    <w:rsid w:val="00BF2607"/>
    <w:rsid w:val="00BF3C26"/>
    <w:rsid w:val="00BF4760"/>
    <w:rsid w:val="00BF4EDC"/>
    <w:rsid w:val="00BF4F49"/>
    <w:rsid w:val="00C000D1"/>
    <w:rsid w:val="00C014EF"/>
    <w:rsid w:val="00C01CB6"/>
    <w:rsid w:val="00C02DED"/>
    <w:rsid w:val="00C03A6E"/>
    <w:rsid w:val="00C06338"/>
    <w:rsid w:val="00C065EA"/>
    <w:rsid w:val="00C1040B"/>
    <w:rsid w:val="00C1072B"/>
    <w:rsid w:val="00C14354"/>
    <w:rsid w:val="00C14E06"/>
    <w:rsid w:val="00C15263"/>
    <w:rsid w:val="00C173B1"/>
    <w:rsid w:val="00C2088A"/>
    <w:rsid w:val="00C21881"/>
    <w:rsid w:val="00C22F9C"/>
    <w:rsid w:val="00C23C21"/>
    <w:rsid w:val="00C252E3"/>
    <w:rsid w:val="00C25755"/>
    <w:rsid w:val="00C27358"/>
    <w:rsid w:val="00C322E1"/>
    <w:rsid w:val="00C323DB"/>
    <w:rsid w:val="00C327B9"/>
    <w:rsid w:val="00C32A36"/>
    <w:rsid w:val="00C330F4"/>
    <w:rsid w:val="00C331A5"/>
    <w:rsid w:val="00C35B1F"/>
    <w:rsid w:val="00C36A44"/>
    <w:rsid w:val="00C37251"/>
    <w:rsid w:val="00C4008F"/>
    <w:rsid w:val="00C41FDF"/>
    <w:rsid w:val="00C444B5"/>
    <w:rsid w:val="00C45692"/>
    <w:rsid w:val="00C46755"/>
    <w:rsid w:val="00C46AD3"/>
    <w:rsid w:val="00C4788C"/>
    <w:rsid w:val="00C500EC"/>
    <w:rsid w:val="00C50C80"/>
    <w:rsid w:val="00C5122B"/>
    <w:rsid w:val="00C5133E"/>
    <w:rsid w:val="00C515D3"/>
    <w:rsid w:val="00C51E4D"/>
    <w:rsid w:val="00C51FA6"/>
    <w:rsid w:val="00C5222F"/>
    <w:rsid w:val="00C56424"/>
    <w:rsid w:val="00C5717C"/>
    <w:rsid w:val="00C57886"/>
    <w:rsid w:val="00C57FDF"/>
    <w:rsid w:val="00C611BD"/>
    <w:rsid w:val="00C61BCF"/>
    <w:rsid w:val="00C61DFA"/>
    <w:rsid w:val="00C6207B"/>
    <w:rsid w:val="00C635E0"/>
    <w:rsid w:val="00C63B6D"/>
    <w:rsid w:val="00C640FE"/>
    <w:rsid w:val="00C64EF6"/>
    <w:rsid w:val="00C66483"/>
    <w:rsid w:val="00C6705F"/>
    <w:rsid w:val="00C67DDE"/>
    <w:rsid w:val="00C73246"/>
    <w:rsid w:val="00C73AFC"/>
    <w:rsid w:val="00C73B71"/>
    <w:rsid w:val="00C73DBB"/>
    <w:rsid w:val="00C74A67"/>
    <w:rsid w:val="00C75429"/>
    <w:rsid w:val="00C80684"/>
    <w:rsid w:val="00C81ABC"/>
    <w:rsid w:val="00C81DAC"/>
    <w:rsid w:val="00C83233"/>
    <w:rsid w:val="00C83CF9"/>
    <w:rsid w:val="00C87DC3"/>
    <w:rsid w:val="00C90030"/>
    <w:rsid w:val="00C904A3"/>
    <w:rsid w:val="00C90942"/>
    <w:rsid w:val="00C919FE"/>
    <w:rsid w:val="00C91FE5"/>
    <w:rsid w:val="00C92DBA"/>
    <w:rsid w:val="00C93B8C"/>
    <w:rsid w:val="00C94436"/>
    <w:rsid w:val="00CA134B"/>
    <w:rsid w:val="00CA16FB"/>
    <w:rsid w:val="00CA23C9"/>
    <w:rsid w:val="00CA2A8A"/>
    <w:rsid w:val="00CA333A"/>
    <w:rsid w:val="00CA4ECD"/>
    <w:rsid w:val="00CA580F"/>
    <w:rsid w:val="00CA69DA"/>
    <w:rsid w:val="00CB0945"/>
    <w:rsid w:val="00CB37C0"/>
    <w:rsid w:val="00CB443F"/>
    <w:rsid w:val="00CB4A64"/>
    <w:rsid w:val="00CB5798"/>
    <w:rsid w:val="00CB7195"/>
    <w:rsid w:val="00CB72A6"/>
    <w:rsid w:val="00CB7A00"/>
    <w:rsid w:val="00CB7A3F"/>
    <w:rsid w:val="00CC01D9"/>
    <w:rsid w:val="00CC27BF"/>
    <w:rsid w:val="00CC3BFE"/>
    <w:rsid w:val="00CC4CE2"/>
    <w:rsid w:val="00CC63CF"/>
    <w:rsid w:val="00CC7FE8"/>
    <w:rsid w:val="00CD016D"/>
    <w:rsid w:val="00CD141D"/>
    <w:rsid w:val="00CD22C8"/>
    <w:rsid w:val="00CD25C4"/>
    <w:rsid w:val="00CD3312"/>
    <w:rsid w:val="00CD3ADE"/>
    <w:rsid w:val="00CD4DAB"/>
    <w:rsid w:val="00CD5279"/>
    <w:rsid w:val="00CD5582"/>
    <w:rsid w:val="00CD5987"/>
    <w:rsid w:val="00CD75DB"/>
    <w:rsid w:val="00CE0736"/>
    <w:rsid w:val="00CE0B65"/>
    <w:rsid w:val="00CE1E7C"/>
    <w:rsid w:val="00CE2DF8"/>
    <w:rsid w:val="00CE362E"/>
    <w:rsid w:val="00CE3D5E"/>
    <w:rsid w:val="00CE4256"/>
    <w:rsid w:val="00CE52D2"/>
    <w:rsid w:val="00CE5576"/>
    <w:rsid w:val="00CE5FCA"/>
    <w:rsid w:val="00CF0AC0"/>
    <w:rsid w:val="00CF2A42"/>
    <w:rsid w:val="00CF5BD1"/>
    <w:rsid w:val="00CF6426"/>
    <w:rsid w:val="00CF7539"/>
    <w:rsid w:val="00D00F54"/>
    <w:rsid w:val="00D028E9"/>
    <w:rsid w:val="00D03CD9"/>
    <w:rsid w:val="00D0546D"/>
    <w:rsid w:val="00D07D73"/>
    <w:rsid w:val="00D07F7A"/>
    <w:rsid w:val="00D10AF7"/>
    <w:rsid w:val="00D11955"/>
    <w:rsid w:val="00D13295"/>
    <w:rsid w:val="00D13831"/>
    <w:rsid w:val="00D14DC4"/>
    <w:rsid w:val="00D14DD6"/>
    <w:rsid w:val="00D15769"/>
    <w:rsid w:val="00D15ECA"/>
    <w:rsid w:val="00D163C2"/>
    <w:rsid w:val="00D169F9"/>
    <w:rsid w:val="00D17ABC"/>
    <w:rsid w:val="00D17FBF"/>
    <w:rsid w:val="00D2153D"/>
    <w:rsid w:val="00D24899"/>
    <w:rsid w:val="00D26DC8"/>
    <w:rsid w:val="00D327D1"/>
    <w:rsid w:val="00D343DD"/>
    <w:rsid w:val="00D34A22"/>
    <w:rsid w:val="00D35517"/>
    <w:rsid w:val="00D36508"/>
    <w:rsid w:val="00D36D70"/>
    <w:rsid w:val="00D375E3"/>
    <w:rsid w:val="00D3770E"/>
    <w:rsid w:val="00D41603"/>
    <w:rsid w:val="00D41F6D"/>
    <w:rsid w:val="00D429D1"/>
    <w:rsid w:val="00D45C8A"/>
    <w:rsid w:val="00D45ED0"/>
    <w:rsid w:val="00D45FB3"/>
    <w:rsid w:val="00D46C08"/>
    <w:rsid w:val="00D47796"/>
    <w:rsid w:val="00D4793D"/>
    <w:rsid w:val="00D53C45"/>
    <w:rsid w:val="00D545DB"/>
    <w:rsid w:val="00D55180"/>
    <w:rsid w:val="00D5636E"/>
    <w:rsid w:val="00D60E4A"/>
    <w:rsid w:val="00D60F0E"/>
    <w:rsid w:val="00D610A7"/>
    <w:rsid w:val="00D62507"/>
    <w:rsid w:val="00D638F7"/>
    <w:rsid w:val="00D65402"/>
    <w:rsid w:val="00D67219"/>
    <w:rsid w:val="00D67569"/>
    <w:rsid w:val="00D67844"/>
    <w:rsid w:val="00D70CCF"/>
    <w:rsid w:val="00D73259"/>
    <w:rsid w:val="00D73D0E"/>
    <w:rsid w:val="00D7563E"/>
    <w:rsid w:val="00D83E1A"/>
    <w:rsid w:val="00D8646B"/>
    <w:rsid w:val="00D87383"/>
    <w:rsid w:val="00D87B97"/>
    <w:rsid w:val="00D912E0"/>
    <w:rsid w:val="00D93F32"/>
    <w:rsid w:val="00D93FA3"/>
    <w:rsid w:val="00D93FDD"/>
    <w:rsid w:val="00D95488"/>
    <w:rsid w:val="00D96BFB"/>
    <w:rsid w:val="00D96E87"/>
    <w:rsid w:val="00D970D4"/>
    <w:rsid w:val="00D974FC"/>
    <w:rsid w:val="00D9781C"/>
    <w:rsid w:val="00DA0D54"/>
    <w:rsid w:val="00DA1420"/>
    <w:rsid w:val="00DA2B7D"/>
    <w:rsid w:val="00DA3344"/>
    <w:rsid w:val="00DA3CA0"/>
    <w:rsid w:val="00DA4A2E"/>
    <w:rsid w:val="00DA7067"/>
    <w:rsid w:val="00DA7ACD"/>
    <w:rsid w:val="00DA7C68"/>
    <w:rsid w:val="00DB0936"/>
    <w:rsid w:val="00DB219F"/>
    <w:rsid w:val="00DB4406"/>
    <w:rsid w:val="00DB4B1E"/>
    <w:rsid w:val="00DB6000"/>
    <w:rsid w:val="00DB6614"/>
    <w:rsid w:val="00DB697D"/>
    <w:rsid w:val="00DB6A36"/>
    <w:rsid w:val="00DB6C88"/>
    <w:rsid w:val="00DB6F8A"/>
    <w:rsid w:val="00DB6F93"/>
    <w:rsid w:val="00DC01BF"/>
    <w:rsid w:val="00DC1FA1"/>
    <w:rsid w:val="00DC2670"/>
    <w:rsid w:val="00DC2941"/>
    <w:rsid w:val="00DC2F1D"/>
    <w:rsid w:val="00DC5B66"/>
    <w:rsid w:val="00DC75C0"/>
    <w:rsid w:val="00DC7BF1"/>
    <w:rsid w:val="00DD2DB9"/>
    <w:rsid w:val="00DD48C6"/>
    <w:rsid w:val="00DD51EA"/>
    <w:rsid w:val="00DD5505"/>
    <w:rsid w:val="00DE04EC"/>
    <w:rsid w:val="00DE22AB"/>
    <w:rsid w:val="00DE68A1"/>
    <w:rsid w:val="00DE7358"/>
    <w:rsid w:val="00DF245E"/>
    <w:rsid w:val="00DF437F"/>
    <w:rsid w:val="00DF4AB0"/>
    <w:rsid w:val="00DF5E3D"/>
    <w:rsid w:val="00DF6819"/>
    <w:rsid w:val="00DF6FFC"/>
    <w:rsid w:val="00DF7E9A"/>
    <w:rsid w:val="00DF7F6D"/>
    <w:rsid w:val="00E00F55"/>
    <w:rsid w:val="00E016F0"/>
    <w:rsid w:val="00E02147"/>
    <w:rsid w:val="00E026B6"/>
    <w:rsid w:val="00E052EC"/>
    <w:rsid w:val="00E05731"/>
    <w:rsid w:val="00E07D89"/>
    <w:rsid w:val="00E122A3"/>
    <w:rsid w:val="00E14641"/>
    <w:rsid w:val="00E169B0"/>
    <w:rsid w:val="00E2151A"/>
    <w:rsid w:val="00E223CE"/>
    <w:rsid w:val="00E2356F"/>
    <w:rsid w:val="00E23BBE"/>
    <w:rsid w:val="00E23FBF"/>
    <w:rsid w:val="00E2589E"/>
    <w:rsid w:val="00E26068"/>
    <w:rsid w:val="00E262A2"/>
    <w:rsid w:val="00E26882"/>
    <w:rsid w:val="00E30404"/>
    <w:rsid w:val="00E30739"/>
    <w:rsid w:val="00E30796"/>
    <w:rsid w:val="00E36A14"/>
    <w:rsid w:val="00E37406"/>
    <w:rsid w:val="00E378A1"/>
    <w:rsid w:val="00E41588"/>
    <w:rsid w:val="00E42C3F"/>
    <w:rsid w:val="00E43071"/>
    <w:rsid w:val="00E4369B"/>
    <w:rsid w:val="00E439D4"/>
    <w:rsid w:val="00E44AB2"/>
    <w:rsid w:val="00E45C5C"/>
    <w:rsid w:val="00E46158"/>
    <w:rsid w:val="00E46C88"/>
    <w:rsid w:val="00E46DC0"/>
    <w:rsid w:val="00E528B9"/>
    <w:rsid w:val="00E5324A"/>
    <w:rsid w:val="00E53805"/>
    <w:rsid w:val="00E53926"/>
    <w:rsid w:val="00E56E2C"/>
    <w:rsid w:val="00E57896"/>
    <w:rsid w:val="00E60267"/>
    <w:rsid w:val="00E61576"/>
    <w:rsid w:val="00E61D25"/>
    <w:rsid w:val="00E63B3D"/>
    <w:rsid w:val="00E6467A"/>
    <w:rsid w:val="00E66987"/>
    <w:rsid w:val="00E66D89"/>
    <w:rsid w:val="00E73DA0"/>
    <w:rsid w:val="00E73FD1"/>
    <w:rsid w:val="00E74001"/>
    <w:rsid w:val="00E741AA"/>
    <w:rsid w:val="00E75F9F"/>
    <w:rsid w:val="00E76170"/>
    <w:rsid w:val="00E766AE"/>
    <w:rsid w:val="00E80A9E"/>
    <w:rsid w:val="00E80DAC"/>
    <w:rsid w:val="00E82075"/>
    <w:rsid w:val="00E83C25"/>
    <w:rsid w:val="00E84754"/>
    <w:rsid w:val="00E84F91"/>
    <w:rsid w:val="00E84FF2"/>
    <w:rsid w:val="00E85141"/>
    <w:rsid w:val="00E86C78"/>
    <w:rsid w:val="00E90C21"/>
    <w:rsid w:val="00E9186F"/>
    <w:rsid w:val="00E91CBE"/>
    <w:rsid w:val="00E93180"/>
    <w:rsid w:val="00E94514"/>
    <w:rsid w:val="00E94CFC"/>
    <w:rsid w:val="00E955A2"/>
    <w:rsid w:val="00E9597C"/>
    <w:rsid w:val="00EA10A0"/>
    <w:rsid w:val="00EA145B"/>
    <w:rsid w:val="00EA358B"/>
    <w:rsid w:val="00EA398C"/>
    <w:rsid w:val="00EA617F"/>
    <w:rsid w:val="00EA7099"/>
    <w:rsid w:val="00EA731B"/>
    <w:rsid w:val="00EA7F0C"/>
    <w:rsid w:val="00EB095F"/>
    <w:rsid w:val="00EB2279"/>
    <w:rsid w:val="00EB263F"/>
    <w:rsid w:val="00EB331F"/>
    <w:rsid w:val="00EB3C9E"/>
    <w:rsid w:val="00EB4075"/>
    <w:rsid w:val="00EC0F18"/>
    <w:rsid w:val="00EC12E1"/>
    <w:rsid w:val="00EC1CE4"/>
    <w:rsid w:val="00EC1E9A"/>
    <w:rsid w:val="00EC734E"/>
    <w:rsid w:val="00EC7E71"/>
    <w:rsid w:val="00ED04BA"/>
    <w:rsid w:val="00ED163C"/>
    <w:rsid w:val="00ED1779"/>
    <w:rsid w:val="00ED2739"/>
    <w:rsid w:val="00ED3218"/>
    <w:rsid w:val="00ED3892"/>
    <w:rsid w:val="00ED3C90"/>
    <w:rsid w:val="00ED4D0A"/>
    <w:rsid w:val="00EE61EE"/>
    <w:rsid w:val="00EF1662"/>
    <w:rsid w:val="00EF20E4"/>
    <w:rsid w:val="00EF2C91"/>
    <w:rsid w:val="00EF35B7"/>
    <w:rsid w:val="00EF4BF7"/>
    <w:rsid w:val="00EF4F58"/>
    <w:rsid w:val="00F0205B"/>
    <w:rsid w:val="00F10D81"/>
    <w:rsid w:val="00F117FC"/>
    <w:rsid w:val="00F11CF4"/>
    <w:rsid w:val="00F12C54"/>
    <w:rsid w:val="00F141F5"/>
    <w:rsid w:val="00F14C49"/>
    <w:rsid w:val="00F217C0"/>
    <w:rsid w:val="00F225A6"/>
    <w:rsid w:val="00F225FB"/>
    <w:rsid w:val="00F23765"/>
    <w:rsid w:val="00F27E44"/>
    <w:rsid w:val="00F334E3"/>
    <w:rsid w:val="00F336B8"/>
    <w:rsid w:val="00F33708"/>
    <w:rsid w:val="00F35202"/>
    <w:rsid w:val="00F3637A"/>
    <w:rsid w:val="00F371E8"/>
    <w:rsid w:val="00F400A5"/>
    <w:rsid w:val="00F409CD"/>
    <w:rsid w:val="00F41E86"/>
    <w:rsid w:val="00F41FB1"/>
    <w:rsid w:val="00F42517"/>
    <w:rsid w:val="00F43156"/>
    <w:rsid w:val="00F444FC"/>
    <w:rsid w:val="00F4526C"/>
    <w:rsid w:val="00F45366"/>
    <w:rsid w:val="00F47099"/>
    <w:rsid w:val="00F47C89"/>
    <w:rsid w:val="00F52604"/>
    <w:rsid w:val="00F52660"/>
    <w:rsid w:val="00F53A20"/>
    <w:rsid w:val="00F55603"/>
    <w:rsid w:val="00F56BB5"/>
    <w:rsid w:val="00F56EE7"/>
    <w:rsid w:val="00F5738C"/>
    <w:rsid w:val="00F57479"/>
    <w:rsid w:val="00F57855"/>
    <w:rsid w:val="00F57F3C"/>
    <w:rsid w:val="00F612DB"/>
    <w:rsid w:val="00F6181F"/>
    <w:rsid w:val="00F61DE6"/>
    <w:rsid w:val="00F623DC"/>
    <w:rsid w:val="00F62FF1"/>
    <w:rsid w:val="00F63711"/>
    <w:rsid w:val="00F64A2C"/>
    <w:rsid w:val="00F6539C"/>
    <w:rsid w:val="00F667B8"/>
    <w:rsid w:val="00F6781C"/>
    <w:rsid w:val="00F679B1"/>
    <w:rsid w:val="00F70EB1"/>
    <w:rsid w:val="00F7174C"/>
    <w:rsid w:val="00F72524"/>
    <w:rsid w:val="00F7358F"/>
    <w:rsid w:val="00F76E77"/>
    <w:rsid w:val="00F800EE"/>
    <w:rsid w:val="00F801B3"/>
    <w:rsid w:val="00F809CE"/>
    <w:rsid w:val="00F82A25"/>
    <w:rsid w:val="00F837E2"/>
    <w:rsid w:val="00F83D5B"/>
    <w:rsid w:val="00F8417A"/>
    <w:rsid w:val="00F841FE"/>
    <w:rsid w:val="00F8435B"/>
    <w:rsid w:val="00F870BD"/>
    <w:rsid w:val="00F90556"/>
    <w:rsid w:val="00F92433"/>
    <w:rsid w:val="00F92D95"/>
    <w:rsid w:val="00F943D4"/>
    <w:rsid w:val="00F964DC"/>
    <w:rsid w:val="00F96630"/>
    <w:rsid w:val="00F9686D"/>
    <w:rsid w:val="00FA11B3"/>
    <w:rsid w:val="00FA1CEE"/>
    <w:rsid w:val="00FA365A"/>
    <w:rsid w:val="00FA4238"/>
    <w:rsid w:val="00FA43EB"/>
    <w:rsid w:val="00FA5748"/>
    <w:rsid w:val="00FA76CD"/>
    <w:rsid w:val="00FB032F"/>
    <w:rsid w:val="00FB03B3"/>
    <w:rsid w:val="00FB2DFA"/>
    <w:rsid w:val="00FB3150"/>
    <w:rsid w:val="00FB412B"/>
    <w:rsid w:val="00FB44CB"/>
    <w:rsid w:val="00FB4DCC"/>
    <w:rsid w:val="00FB554B"/>
    <w:rsid w:val="00FB6116"/>
    <w:rsid w:val="00FB623C"/>
    <w:rsid w:val="00FC2A4F"/>
    <w:rsid w:val="00FC3615"/>
    <w:rsid w:val="00FC4DC3"/>
    <w:rsid w:val="00FC5D8E"/>
    <w:rsid w:val="00FC64C3"/>
    <w:rsid w:val="00FC6950"/>
    <w:rsid w:val="00FD1FFB"/>
    <w:rsid w:val="00FD20BE"/>
    <w:rsid w:val="00FD2FFE"/>
    <w:rsid w:val="00FD3CDD"/>
    <w:rsid w:val="00FD67A3"/>
    <w:rsid w:val="00FD723D"/>
    <w:rsid w:val="00FE1559"/>
    <w:rsid w:val="00FE6868"/>
    <w:rsid w:val="00FE693A"/>
    <w:rsid w:val="00FF18B4"/>
    <w:rsid w:val="00FF480F"/>
    <w:rsid w:val="00FF566C"/>
    <w:rsid w:val="00FF6B5F"/>
    <w:rsid w:val="068409C1"/>
    <w:rsid w:val="073C5839"/>
    <w:rsid w:val="08EF1CA6"/>
    <w:rsid w:val="095019BC"/>
    <w:rsid w:val="0ADA2EA0"/>
    <w:rsid w:val="0DB71819"/>
    <w:rsid w:val="12935C69"/>
    <w:rsid w:val="14E93706"/>
    <w:rsid w:val="15F757FD"/>
    <w:rsid w:val="184B56E3"/>
    <w:rsid w:val="1A9C01D6"/>
    <w:rsid w:val="1D1D59E5"/>
    <w:rsid w:val="1D9A3BD1"/>
    <w:rsid w:val="202248B2"/>
    <w:rsid w:val="21740C9B"/>
    <w:rsid w:val="23B836CE"/>
    <w:rsid w:val="27C84B7F"/>
    <w:rsid w:val="2AA76742"/>
    <w:rsid w:val="2C5C6F86"/>
    <w:rsid w:val="2D326A66"/>
    <w:rsid w:val="2DA507DC"/>
    <w:rsid w:val="331A11C5"/>
    <w:rsid w:val="334F55DB"/>
    <w:rsid w:val="3C0A7141"/>
    <w:rsid w:val="3EC41104"/>
    <w:rsid w:val="402B5E81"/>
    <w:rsid w:val="43FE7ECD"/>
    <w:rsid w:val="4468692B"/>
    <w:rsid w:val="483B22E8"/>
    <w:rsid w:val="4E3F79CE"/>
    <w:rsid w:val="56757E0F"/>
    <w:rsid w:val="57E12BC2"/>
    <w:rsid w:val="58443110"/>
    <w:rsid w:val="58DD792C"/>
    <w:rsid w:val="597F1C80"/>
    <w:rsid w:val="5A580D6E"/>
    <w:rsid w:val="5C042683"/>
    <w:rsid w:val="5DC85A12"/>
    <w:rsid w:val="5E5E36B0"/>
    <w:rsid w:val="5ED3395E"/>
    <w:rsid w:val="63042AF7"/>
    <w:rsid w:val="666B09AF"/>
    <w:rsid w:val="68982A49"/>
    <w:rsid w:val="73553D63"/>
    <w:rsid w:val="75CD2483"/>
    <w:rsid w:val="774908C4"/>
    <w:rsid w:val="7A372CD5"/>
    <w:rsid w:val="7C574730"/>
    <w:rsid w:val="7C680FF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宋体"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qFormat="1"/>
    <w:lsdException w:name="annotation text" w:qFormat="1"/>
    <w:lsdException w:name="header" w:semiHidden="0" w:qFormat="1"/>
    <w:lsdException w:name="footer" w:semiHidden="0" w:qFormat="1"/>
    <w:lsdException w:name="caption" w:semiHidden="0" w:unhideWhenUsed="0" w:qFormat="1"/>
    <w:lsdException w:name="table of figures"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260" w:after="260" w:line="416" w:lineRule="auto"/>
      <w:outlineLvl w:val="1"/>
    </w:pPr>
    <w:rPr>
      <w:rFonts w:ascii="Calibri Light" w:eastAsia="宋体" w:hAnsi="Calibri Light" w:cs="Times New Roman"/>
      <w:b/>
      <w:bCs/>
      <w:sz w:val="28"/>
      <w:szCs w:val="32"/>
    </w:rPr>
  </w:style>
  <w:style w:type="paragraph" w:styleId="3">
    <w:name w:val="heading 3"/>
    <w:basedOn w:val="a0"/>
    <w:next w:val="a0"/>
    <w:link w:val="3Char"/>
    <w:uiPriority w:val="9"/>
    <w:unhideWhenUsed/>
    <w:qFormat/>
    <w:pPr>
      <w:keepNext/>
      <w:keepLines/>
      <w:spacing w:before="260" w:after="260" w:line="416" w:lineRule="auto"/>
      <w:outlineLvl w:val="2"/>
    </w:pPr>
    <w:rPr>
      <w:rFonts w:ascii="Calibri" w:eastAsia="宋体" w:hAnsi="Calibri" w:cs="Times New Roman"/>
      <w:b/>
      <w:bCs/>
      <w:sz w:val="24"/>
      <w:szCs w:val="32"/>
    </w:rPr>
  </w:style>
  <w:style w:type="paragraph" w:styleId="4">
    <w:name w:val="heading 4"/>
    <w:basedOn w:val="a0"/>
    <w:next w:val="a0"/>
    <w:link w:val="4Char"/>
    <w:uiPriority w:val="9"/>
    <w:unhideWhenUsed/>
    <w:qFormat/>
    <w:pPr>
      <w:keepNext/>
      <w:keepLines/>
      <w:spacing w:before="280" w:after="290" w:line="376" w:lineRule="auto"/>
      <w:outlineLvl w:val="3"/>
    </w:pPr>
    <w:rPr>
      <w:rFonts w:ascii="Calibri Light" w:eastAsia="宋体" w:hAnsi="Calibri Light" w:cs="Times New Roman"/>
      <w:b/>
      <w:bCs/>
      <w:sz w:val="24"/>
      <w:szCs w:val="28"/>
    </w:rPr>
  </w:style>
  <w:style w:type="paragraph" w:styleId="5">
    <w:name w:val="heading 5"/>
    <w:basedOn w:val="a0"/>
    <w:next w:val="a0"/>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semiHidden/>
    <w:unhideWhenUsed/>
    <w:qFormat/>
    <w:rPr>
      <w:b/>
      <w:bCs/>
    </w:rPr>
  </w:style>
  <w:style w:type="paragraph" w:styleId="a5">
    <w:name w:val="annotation text"/>
    <w:basedOn w:val="a0"/>
    <w:link w:val="Char0"/>
    <w:uiPriority w:val="99"/>
    <w:semiHidden/>
    <w:unhideWhenUsed/>
    <w:qFormat/>
    <w:pPr>
      <w:jc w:val="left"/>
    </w:pPr>
  </w:style>
  <w:style w:type="paragraph" w:styleId="7">
    <w:name w:val="toc 7"/>
    <w:basedOn w:val="a0"/>
    <w:next w:val="a0"/>
    <w:uiPriority w:val="39"/>
    <w:unhideWhenUsed/>
    <w:qFormat/>
    <w:pPr>
      <w:ind w:left="1260"/>
      <w:jc w:val="left"/>
    </w:pPr>
    <w:rPr>
      <w:rFonts w:eastAsiaTheme="minorHAnsi"/>
      <w:sz w:val="20"/>
      <w:szCs w:val="20"/>
    </w:rPr>
  </w:style>
  <w:style w:type="paragraph" w:styleId="a6">
    <w:name w:val="caption"/>
    <w:basedOn w:val="a0"/>
    <w:next w:val="a0"/>
    <w:uiPriority w:val="99"/>
    <w:qFormat/>
    <w:rPr>
      <w:rFonts w:ascii="Calibri Light" w:eastAsia="黑体" w:hAnsi="Calibri Light" w:cs="Calibri Light"/>
      <w:sz w:val="20"/>
      <w:szCs w:val="20"/>
    </w:rPr>
  </w:style>
  <w:style w:type="paragraph" w:styleId="50">
    <w:name w:val="toc 5"/>
    <w:basedOn w:val="a0"/>
    <w:next w:val="a0"/>
    <w:uiPriority w:val="39"/>
    <w:unhideWhenUsed/>
    <w:qFormat/>
    <w:pPr>
      <w:ind w:left="840"/>
      <w:jc w:val="left"/>
    </w:pPr>
    <w:rPr>
      <w:rFonts w:eastAsiaTheme="minorHAnsi"/>
      <w:sz w:val="20"/>
      <w:szCs w:val="20"/>
    </w:rPr>
  </w:style>
  <w:style w:type="paragraph" w:styleId="30">
    <w:name w:val="toc 3"/>
    <w:basedOn w:val="a0"/>
    <w:next w:val="a0"/>
    <w:uiPriority w:val="39"/>
    <w:unhideWhenUsed/>
    <w:qFormat/>
    <w:pPr>
      <w:ind w:left="420"/>
      <w:jc w:val="left"/>
    </w:pPr>
    <w:rPr>
      <w:rFonts w:eastAsiaTheme="minorHAnsi"/>
      <w:sz w:val="22"/>
    </w:rPr>
  </w:style>
  <w:style w:type="paragraph" w:styleId="8">
    <w:name w:val="toc 8"/>
    <w:basedOn w:val="a0"/>
    <w:next w:val="a0"/>
    <w:uiPriority w:val="39"/>
    <w:unhideWhenUsed/>
    <w:qFormat/>
    <w:pPr>
      <w:ind w:left="1470"/>
      <w:jc w:val="left"/>
    </w:pPr>
    <w:rPr>
      <w:rFonts w:eastAsiaTheme="minorHAnsi"/>
      <w:sz w:val="20"/>
      <w:szCs w:val="20"/>
    </w:rPr>
  </w:style>
  <w:style w:type="paragraph" w:styleId="a7">
    <w:name w:val="Balloon Text"/>
    <w:basedOn w:val="a0"/>
    <w:link w:val="Char1"/>
    <w:uiPriority w:val="99"/>
    <w:semiHidden/>
    <w:unhideWhenUsed/>
    <w:qFormat/>
    <w:rPr>
      <w:sz w:val="18"/>
      <w:szCs w:val="18"/>
    </w:rPr>
  </w:style>
  <w:style w:type="paragraph" w:styleId="a8">
    <w:name w:val="footer"/>
    <w:basedOn w:val="a0"/>
    <w:link w:val="Char2"/>
    <w:uiPriority w:val="99"/>
    <w:unhideWhenUsed/>
    <w:qFormat/>
    <w:pPr>
      <w:tabs>
        <w:tab w:val="center" w:pos="4153"/>
        <w:tab w:val="right" w:pos="8306"/>
      </w:tabs>
      <w:snapToGrid w:val="0"/>
      <w:jc w:val="left"/>
    </w:pPr>
    <w:rPr>
      <w:sz w:val="18"/>
      <w:szCs w:val="18"/>
    </w:rPr>
  </w:style>
  <w:style w:type="paragraph" w:styleId="a9">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tabs>
        <w:tab w:val="right" w:leader="dot" w:pos="8296"/>
      </w:tabs>
      <w:spacing w:before="120"/>
      <w:jc w:val="center"/>
    </w:pPr>
    <w:rPr>
      <w:rFonts w:eastAsiaTheme="minorHAnsi"/>
      <w:b/>
      <w:bCs/>
      <w:sz w:val="32"/>
      <w:szCs w:val="24"/>
    </w:rPr>
  </w:style>
  <w:style w:type="paragraph" w:styleId="40">
    <w:name w:val="toc 4"/>
    <w:basedOn w:val="a0"/>
    <w:next w:val="a0"/>
    <w:uiPriority w:val="39"/>
    <w:unhideWhenUsed/>
    <w:qFormat/>
    <w:pPr>
      <w:ind w:left="630"/>
      <w:jc w:val="left"/>
    </w:pPr>
    <w:rPr>
      <w:rFonts w:eastAsiaTheme="minorHAnsi"/>
      <w:sz w:val="20"/>
      <w:szCs w:val="20"/>
    </w:rPr>
  </w:style>
  <w:style w:type="paragraph" w:styleId="aa">
    <w:name w:val="footnote text"/>
    <w:basedOn w:val="a0"/>
    <w:link w:val="Char4"/>
    <w:uiPriority w:val="99"/>
    <w:semiHidden/>
    <w:unhideWhenUsed/>
    <w:qFormat/>
    <w:pPr>
      <w:snapToGrid w:val="0"/>
      <w:jc w:val="left"/>
    </w:pPr>
    <w:rPr>
      <w:sz w:val="18"/>
      <w:szCs w:val="18"/>
    </w:rPr>
  </w:style>
  <w:style w:type="paragraph" w:styleId="6">
    <w:name w:val="toc 6"/>
    <w:basedOn w:val="a0"/>
    <w:next w:val="a0"/>
    <w:uiPriority w:val="39"/>
    <w:unhideWhenUsed/>
    <w:qFormat/>
    <w:pPr>
      <w:ind w:left="1050"/>
      <w:jc w:val="left"/>
    </w:pPr>
    <w:rPr>
      <w:rFonts w:eastAsiaTheme="minorHAnsi"/>
      <w:sz w:val="20"/>
      <w:szCs w:val="20"/>
    </w:rPr>
  </w:style>
  <w:style w:type="paragraph" w:styleId="ab">
    <w:name w:val="table of figures"/>
    <w:basedOn w:val="a0"/>
    <w:next w:val="a0"/>
    <w:uiPriority w:val="99"/>
    <w:semiHidden/>
    <w:unhideWhenUsed/>
    <w:qFormat/>
    <w:pPr>
      <w:ind w:leftChars="200" w:left="200" w:hangingChars="200" w:hanging="200"/>
    </w:pPr>
  </w:style>
  <w:style w:type="paragraph" w:styleId="20">
    <w:name w:val="toc 2"/>
    <w:basedOn w:val="a0"/>
    <w:next w:val="a0"/>
    <w:uiPriority w:val="39"/>
    <w:unhideWhenUsed/>
    <w:qFormat/>
    <w:pPr>
      <w:ind w:left="210"/>
      <w:jc w:val="left"/>
    </w:pPr>
    <w:rPr>
      <w:rFonts w:eastAsiaTheme="minorHAnsi"/>
      <w:b/>
      <w:bCs/>
      <w:sz w:val="22"/>
    </w:rPr>
  </w:style>
  <w:style w:type="paragraph" w:styleId="9">
    <w:name w:val="toc 9"/>
    <w:basedOn w:val="a0"/>
    <w:next w:val="a0"/>
    <w:uiPriority w:val="39"/>
    <w:unhideWhenUsed/>
    <w:qFormat/>
    <w:pPr>
      <w:ind w:left="1680"/>
      <w:jc w:val="left"/>
    </w:pPr>
    <w:rPr>
      <w:rFonts w:eastAsiaTheme="minorHAnsi"/>
      <w:sz w:val="20"/>
      <w:szCs w:val="20"/>
    </w:rPr>
  </w:style>
  <w:style w:type="character" w:styleId="ac">
    <w:name w:val="annotation reference"/>
    <w:basedOn w:val="a1"/>
    <w:uiPriority w:val="99"/>
    <w:semiHidden/>
    <w:unhideWhenUsed/>
    <w:qFormat/>
    <w:rPr>
      <w:sz w:val="21"/>
      <w:szCs w:val="21"/>
    </w:rPr>
  </w:style>
  <w:style w:type="character" w:styleId="ad">
    <w:name w:val="footnote reference"/>
    <w:basedOn w:val="a1"/>
    <w:uiPriority w:val="99"/>
    <w:semiHidden/>
    <w:unhideWhenUsed/>
    <w:qFormat/>
    <w:rPr>
      <w:vertAlign w:val="superscript"/>
    </w:rPr>
  </w:style>
  <w:style w:type="paragraph" w:customStyle="1" w:styleId="ae">
    <w:name w:val="免责声明"/>
    <w:basedOn w:val="a0"/>
    <w:qFormat/>
    <w:pPr>
      <w:spacing w:line="280" w:lineRule="exact"/>
    </w:pPr>
    <w:rPr>
      <w:rFonts w:ascii="Times New Roman" w:eastAsia="楷体_GB2312" w:hAnsi="Times New Roman" w:cs="宋体"/>
      <w:szCs w:val="20"/>
    </w:rPr>
  </w:style>
  <w:style w:type="character" w:customStyle="1" w:styleId="af">
    <w:name w:val="一年期收益率等"/>
    <w:basedOn w:val="a1"/>
    <w:qFormat/>
    <w:rPr>
      <w:rFonts w:eastAsia="楷体_GB2312"/>
      <w:b/>
      <w:bCs/>
    </w:rPr>
  </w:style>
  <w:style w:type="paragraph" w:customStyle="1" w:styleId="af0">
    <w:name w:val="投资评级白色"/>
    <w:basedOn w:val="a0"/>
    <w:qFormat/>
    <w:pPr>
      <w:spacing w:line="360" w:lineRule="auto"/>
      <w:jc w:val="center"/>
    </w:pPr>
    <w:rPr>
      <w:rFonts w:ascii="Times New Roman" w:eastAsia="楷体_GB2312" w:hAnsi="Times New Roman" w:cs="宋体"/>
      <w:b/>
      <w:bCs/>
      <w:color w:val="FFFFFF"/>
      <w:kern w:val="0"/>
      <w:szCs w:val="20"/>
    </w:rPr>
  </w:style>
  <w:style w:type="paragraph" w:customStyle="1" w:styleId="af1">
    <w:name w:val="投资要点"/>
    <w:basedOn w:val="a0"/>
    <w:qFormat/>
    <w:pPr>
      <w:spacing w:before="156" w:after="156" w:line="320" w:lineRule="atLeast"/>
    </w:pPr>
    <w:rPr>
      <w:rFonts w:ascii="Times New Roman" w:eastAsia="楷体_GB2312" w:hAnsi="Times New Roman" w:cs="宋体"/>
      <w:b/>
      <w:bCs/>
      <w:szCs w:val="20"/>
    </w:rPr>
  </w:style>
  <w:style w:type="paragraph" w:customStyle="1" w:styleId="Af2">
    <w:name w:val="报告日期A"/>
    <w:basedOn w:val="a0"/>
    <w:qFormat/>
    <w:pPr>
      <w:jc w:val="center"/>
    </w:pPr>
    <w:rPr>
      <w:rFonts w:ascii="Times New Roman" w:eastAsia="楷体_GB2312" w:hAnsi="Times New Roman" w:cs="宋体"/>
      <w:b/>
      <w:bCs/>
      <w:szCs w:val="20"/>
    </w:rPr>
  </w:style>
  <w:style w:type="paragraph" w:customStyle="1" w:styleId="af3">
    <w:name w:val="推荐等"/>
    <w:basedOn w:val="a0"/>
    <w:qFormat/>
    <w:pPr>
      <w:spacing w:line="360" w:lineRule="auto"/>
      <w:jc w:val="center"/>
    </w:pPr>
    <w:rPr>
      <w:rFonts w:ascii="Times New Roman" w:eastAsia="楷体_GB2312" w:hAnsi="Times New Roman" w:cs="宋体"/>
      <w:b/>
      <w:bCs/>
      <w:kern w:val="0"/>
      <w:szCs w:val="20"/>
    </w:rPr>
  </w:style>
  <w:style w:type="paragraph" w:customStyle="1" w:styleId="af4">
    <w:name w:val="评级说明内容"/>
    <w:basedOn w:val="a0"/>
    <w:qFormat/>
    <w:pPr>
      <w:spacing w:line="360" w:lineRule="auto"/>
    </w:pPr>
    <w:rPr>
      <w:rFonts w:ascii="Times New Roman" w:eastAsia="楷体_GB2312" w:hAnsi="Times New Roman" w:cs="宋体"/>
      <w:b/>
      <w:bCs/>
      <w:kern w:val="0"/>
      <w:szCs w:val="20"/>
    </w:rPr>
  </w:style>
  <w:style w:type="character" w:customStyle="1" w:styleId="B">
    <w:name w:val="B图标目录"/>
    <w:basedOn w:val="a1"/>
    <w:qFormat/>
    <w:rPr>
      <w:rFonts w:eastAsia="楷体_GB2312"/>
      <w:sz w:val="32"/>
    </w:rPr>
  </w:style>
  <w:style w:type="paragraph" w:customStyle="1" w:styleId="B0">
    <w:name w:val="B图表目录内容"/>
    <w:basedOn w:val="ab"/>
    <w:qFormat/>
    <w:pPr>
      <w:spacing w:line="400" w:lineRule="exact"/>
      <w:ind w:left="840" w:hanging="420"/>
    </w:pPr>
    <w:rPr>
      <w:rFonts w:ascii="Times New Roman" w:eastAsia="楷体_GB2312" w:hAnsi="Times New Roman" w:cs="宋体"/>
      <w:szCs w:val="20"/>
    </w:rPr>
  </w:style>
  <w:style w:type="paragraph" w:customStyle="1" w:styleId="af5">
    <w:name w:val="财富一级标题"/>
    <w:basedOn w:val="a0"/>
    <w:link w:val="af6"/>
    <w:qFormat/>
    <w:pPr>
      <w:keepNext/>
      <w:keepLines/>
      <w:ind w:leftChars="1200" w:left="2520"/>
      <w:outlineLvl w:val="0"/>
    </w:pPr>
    <w:rPr>
      <w:rFonts w:ascii="Times New Roman" w:eastAsia="楷体_GB2312" w:hAnsi="Times New Roman" w:cs="Times New Roman"/>
      <w:b/>
      <w:bCs/>
      <w:sz w:val="28"/>
      <w:szCs w:val="28"/>
    </w:rPr>
  </w:style>
  <w:style w:type="character" w:customStyle="1" w:styleId="af6">
    <w:name w:val="财富一级标题 字符"/>
    <w:link w:val="af5"/>
    <w:qFormat/>
    <w:rPr>
      <w:rFonts w:ascii="Times New Roman" w:eastAsia="楷体_GB2312" w:hAnsi="Times New Roman" w:cs="Times New Roman"/>
      <w:b/>
      <w:bCs/>
      <w:sz w:val="28"/>
      <w:szCs w:val="28"/>
    </w:rPr>
  </w:style>
  <w:style w:type="paragraph" w:customStyle="1" w:styleId="af7">
    <w:name w:val="目录"/>
    <w:basedOn w:val="a0"/>
    <w:qFormat/>
    <w:pPr>
      <w:jc w:val="center"/>
    </w:pPr>
    <w:rPr>
      <w:rFonts w:ascii="Times New Roman" w:eastAsia="楷体_GB2312" w:hAnsi="Times New Roman" w:cs="宋体"/>
      <w:sz w:val="32"/>
      <w:szCs w:val="20"/>
    </w:rPr>
  </w:style>
  <w:style w:type="paragraph" w:customStyle="1" w:styleId="af8">
    <w:name w:val="目录内容"/>
    <w:basedOn w:val="10"/>
    <w:qFormat/>
    <w:pPr>
      <w:tabs>
        <w:tab w:val="right" w:leader="dot" w:pos="8931"/>
      </w:tabs>
      <w:spacing w:line="400" w:lineRule="exact"/>
      <w:ind w:rightChars="316" w:right="664"/>
    </w:pPr>
    <w:rPr>
      <w:rFonts w:ascii="楷体_GB2312" w:eastAsia="楷体_GB2312" w:hAnsi="Times New Roman" w:cs="宋体"/>
      <w:szCs w:val="20"/>
    </w:rPr>
  </w:style>
  <w:style w:type="paragraph" w:customStyle="1" w:styleId="af9">
    <w:name w:val="行情图"/>
    <w:basedOn w:val="a0"/>
    <w:qFormat/>
    <w:pPr>
      <w:jc w:val="center"/>
    </w:pPr>
    <w:rPr>
      <w:rFonts w:ascii="Times New Roman" w:eastAsia="楷体_GB2312" w:hAnsi="Times New Roman" w:cs="宋体"/>
      <w:sz w:val="15"/>
      <w:szCs w:val="20"/>
    </w:rPr>
  </w:style>
  <w:style w:type="character" w:customStyle="1" w:styleId="B1">
    <w:name w:val="B评级："/>
    <w:basedOn w:val="a1"/>
    <w:qFormat/>
    <w:rPr>
      <w:rFonts w:eastAsia="楷体_GB2312"/>
      <w:b/>
      <w:bCs/>
      <w:sz w:val="28"/>
    </w:rPr>
  </w:style>
  <w:style w:type="character" w:customStyle="1" w:styleId="B2">
    <w:name w:val="B评级系统说明"/>
    <w:basedOn w:val="a1"/>
    <w:qFormat/>
    <w:rPr>
      <w:rFonts w:eastAsia="楷体_GB2312"/>
      <w:b/>
      <w:bCs/>
      <w:sz w:val="28"/>
      <w:u w:val="single"/>
    </w:rPr>
  </w:style>
  <w:style w:type="character" w:customStyle="1" w:styleId="B10">
    <w:name w:val="B上次评级1"/>
    <w:basedOn w:val="a1"/>
    <w:qFormat/>
    <w:rPr>
      <w:rFonts w:ascii="楷体_GB2312" w:eastAsia="楷体_GB2312" w:hAnsi="楷体_GB2312"/>
      <w:sz w:val="18"/>
    </w:rPr>
  </w:style>
  <w:style w:type="paragraph" w:customStyle="1" w:styleId="B3">
    <w:name w:val="B图表目录行距"/>
    <w:basedOn w:val="a0"/>
    <w:qFormat/>
    <w:pPr>
      <w:spacing w:line="400" w:lineRule="exact"/>
      <w:ind w:rightChars="315" w:right="661"/>
    </w:pPr>
    <w:rPr>
      <w:rFonts w:ascii="Times New Roman" w:eastAsia="宋体" w:hAnsi="Times New Roman" w:cs="宋体"/>
      <w:szCs w:val="20"/>
    </w:rPr>
  </w:style>
  <w:style w:type="character" w:customStyle="1" w:styleId="B4">
    <w:name w:val="B重点公司表格"/>
    <w:basedOn w:val="a1"/>
    <w:qFormat/>
    <w:rPr>
      <w:rFonts w:ascii="楷体_GB2312" w:eastAsia="楷体_GB2312" w:hAnsi="楷体_GB2312"/>
    </w:rPr>
  </w:style>
  <w:style w:type="paragraph" w:customStyle="1" w:styleId="B5">
    <w:name w:val="B副标题"/>
    <w:basedOn w:val="a0"/>
    <w:qFormat/>
    <w:pPr>
      <w:jc w:val="right"/>
    </w:pPr>
    <w:rPr>
      <w:rFonts w:ascii="楷体_GB2312" w:eastAsia="楷体_GB2312" w:hAnsi="Times New Roman" w:cs="宋体"/>
      <w:b/>
      <w:bCs/>
      <w:sz w:val="24"/>
      <w:szCs w:val="20"/>
    </w:rPr>
  </w:style>
  <w:style w:type="paragraph" w:customStyle="1" w:styleId="B20">
    <w:name w:val="B上次评级2"/>
    <w:basedOn w:val="a0"/>
    <w:qFormat/>
    <w:pPr>
      <w:jc w:val="center"/>
    </w:pPr>
    <w:rPr>
      <w:rFonts w:ascii="楷体_GB2312" w:eastAsia="楷体_GB2312" w:hAnsi="Times New Roman" w:cs="宋体"/>
      <w:szCs w:val="20"/>
    </w:rPr>
  </w:style>
  <w:style w:type="paragraph" w:customStyle="1" w:styleId="B6">
    <w:name w:val="B行业深度报告同一行"/>
    <w:basedOn w:val="a0"/>
    <w:qFormat/>
    <w:pPr>
      <w:jc w:val="center"/>
    </w:pPr>
    <w:rPr>
      <w:rFonts w:ascii="楷体_GB2312" w:eastAsia="楷体_GB2312" w:hAnsi="Times New Roman" w:cs="宋体"/>
      <w:b/>
      <w:bCs/>
      <w:color w:val="FFFFFF"/>
      <w:sz w:val="28"/>
      <w:szCs w:val="20"/>
    </w:rPr>
  </w:style>
  <w:style w:type="paragraph" w:customStyle="1" w:styleId="B7">
    <w:name w:val="B报告标题"/>
    <w:basedOn w:val="a0"/>
    <w:qFormat/>
    <w:pPr>
      <w:jc w:val="center"/>
    </w:pPr>
    <w:rPr>
      <w:rFonts w:ascii="楷体_GB2312" w:eastAsia="楷体_GB2312" w:hAnsi="Times New Roman" w:cs="宋体"/>
      <w:b/>
      <w:bCs/>
      <w:sz w:val="30"/>
      <w:szCs w:val="20"/>
    </w:rPr>
  </w:style>
  <w:style w:type="paragraph" w:customStyle="1" w:styleId="GB2312RGB36649715">
    <w:name w:val="样式 (中文) 楷体_GB2312 加粗 自定义颜色(RGB(366497)) 居中 行距: 1.5 倍行距"/>
    <w:basedOn w:val="a0"/>
    <w:qFormat/>
    <w:pPr>
      <w:spacing w:line="360" w:lineRule="auto"/>
      <w:jc w:val="center"/>
    </w:pPr>
    <w:rPr>
      <w:rFonts w:ascii="Times New Roman" w:eastAsia="楷体_GB2312" w:hAnsi="Times New Roman" w:cs="宋体"/>
      <w:b/>
      <w:bCs/>
      <w:color w:val="244061"/>
      <w:kern w:val="0"/>
      <w:szCs w:val="20"/>
    </w:rPr>
  </w:style>
  <w:style w:type="paragraph" w:customStyle="1" w:styleId="A">
    <w:name w:val="A财富策略点评"/>
    <w:basedOn w:val="a0"/>
    <w:qFormat/>
    <w:pPr>
      <w:numPr>
        <w:numId w:val="1"/>
      </w:numPr>
    </w:pPr>
    <w:rPr>
      <w:rFonts w:ascii="Times New Roman" w:eastAsia="宋体" w:hAnsi="Times New Roman" w:cs="Times New Roman"/>
      <w:szCs w:val="24"/>
    </w:rPr>
  </w:style>
  <w:style w:type="paragraph" w:customStyle="1" w:styleId="Afa">
    <w:name w:val="A财富样式"/>
    <w:basedOn w:val="a0"/>
    <w:qFormat/>
    <w:pPr>
      <w:spacing w:beforeLines="50" w:before="156" w:afterLines="50" w:after="156" w:line="360" w:lineRule="exact"/>
      <w:ind w:leftChars="1215" w:left="2551" w:firstLineChars="196" w:firstLine="412"/>
    </w:pPr>
    <w:rPr>
      <w:rFonts w:ascii="Times New Roman" w:eastAsia="楷体_GB2312" w:hAnsi="Times New Roman" w:cs="宋体"/>
      <w:szCs w:val="20"/>
    </w:rPr>
  </w:style>
  <w:style w:type="paragraph" w:customStyle="1" w:styleId="B21">
    <w:name w:val="B图表目录内容2"/>
    <w:basedOn w:val="ab"/>
    <w:qFormat/>
    <w:pPr>
      <w:spacing w:line="400" w:lineRule="exact"/>
      <w:ind w:left="840" w:hanging="420"/>
    </w:pPr>
    <w:rPr>
      <w:rFonts w:ascii="Times New Roman" w:eastAsia="楷体_GB2312" w:hAnsi="Times New Roman" w:cs="宋体"/>
      <w:szCs w:val="20"/>
    </w:rPr>
  </w:style>
  <w:style w:type="paragraph" w:customStyle="1" w:styleId="B11">
    <w:name w:val="B图表目录内容1"/>
    <w:basedOn w:val="a0"/>
    <w:qFormat/>
    <w:pPr>
      <w:spacing w:line="400" w:lineRule="exact"/>
      <w:ind w:leftChars="200" w:left="840" w:hangingChars="200" w:hanging="420"/>
    </w:pPr>
    <w:rPr>
      <w:rFonts w:ascii="Times New Roman" w:eastAsia="楷体_GB2312" w:hAnsi="Times New Roman" w:cs="宋体"/>
      <w:szCs w:val="20"/>
    </w:rPr>
  </w:style>
  <w:style w:type="paragraph" w:customStyle="1" w:styleId="afb">
    <w:name w:val="样式 图表目录"/>
    <w:basedOn w:val="ab"/>
    <w:qFormat/>
    <w:pPr>
      <w:ind w:left="840" w:hanging="420"/>
      <w:jc w:val="center"/>
    </w:pPr>
    <w:rPr>
      <w:rFonts w:ascii="Times New Roman" w:eastAsia="宋体" w:hAnsi="Times New Roman" w:cs="宋体"/>
      <w:szCs w:val="20"/>
    </w:rPr>
  </w:style>
  <w:style w:type="paragraph" w:customStyle="1" w:styleId="Afc">
    <w:name w:val="A财富三级标题"/>
    <w:basedOn w:val="a0"/>
    <w:qFormat/>
    <w:pPr>
      <w:keepNext/>
      <w:keepLines/>
      <w:spacing w:beforeLines="50" w:before="156" w:afterLines="50" w:after="156" w:line="360" w:lineRule="exact"/>
      <w:ind w:leftChars="1200" w:left="2520"/>
      <w:outlineLvl w:val="1"/>
    </w:pPr>
    <w:rPr>
      <w:rFonts w:ascii="Times New Roman" w:eastAsia="楷体_GB2312" w:hAnsi="Times New Roman" w:cs="Times New Roman"/>
      <w:b/>
      <w:bCs/>
      <w:sz w:val="22"/>
      <w:szCs w:val="24"/>
    </w:rPr>
  </w:style>
  <w:style w:type="paragraph" w:styleId="afd">
    <w:name w:val="List Paragraph"/>
    <w:basedOn w:val="a0"/>
    <w:uiPriority w:val="34"/>
    <w:qFormat/>
    <w:pPr>
      <w:ind w:firstLineChars="200" w:firstLine="420"/>
    </w:pPr>
  </w:style>
  <w:style w:type="character" w:customStyle="1" w:styleId="Char3">
    <w:name w:val="页眉 Char"/>
    <w:basedOn w:val="a1"/>
    <w:link w:val="a9"/>
    <w:uiPriority w:val="99"/>
    <w:qFormat/>
    <w:rPr>
      <w:sz w:val="18"/>
      <w:szCs w:val="18"/>
    </w:rPr>
  </w:style>
  <w:style w:type="character" w:customStyle="1" w:styleId="Char2">
    <w:name w:val="页脚 Char"/>
    <w:basedOn w:val="a1"/>
    <w:link w:val="a8"/>
    <w:uiPriority w:val="99"/>
    <w:qFormat/>
    <w:rPr>
      <w:sz w:val="18"/>
      <w:szCs w:val="18"/>
    </w:rPr>
  </w:style>
  <w:style w:type="character" w:customStyle="1" w:styleId="Char4">
    <w:name w:val="脚注文本 Char"/>
    <w:basedOn w:val="a1"/>
    <w:link w:val="aa"/>
    <w:uiPriority w:val="99"/>
    <w:semiHidden/>
    <w:qFormat/>
    <w:rPr>
      <w:sz w:val="18"/>
      <w:szCs w:val="18"/>
    </w:rPr>
  </w:style>
  <w:style w:type="paragraph" w:customStyle="1" w:styleId="11">
    <w:name w:val="无间隔1"/>
    <w:uiPriority w:val="99"/>
    <w:qFormat/>
    <w:pPr>
      <w:widowControl w:val="0"/>
      <w:jc w:val="both"/>
    </w:pPr>
    <w:rPr>
      <w:rFonts w:ascii="Calibri" w:hAnsi="Calibri"/>
      <w:kern w:val="2"/>
      <w:sz w:val="21"/>
      <w:szCs w:val="22"/>
    </w:rPr>
  </w:style>
  <w:style w:type="character" w:customStyle="1" w:styleId="2Char">
    <w:name w:val="标题 2 Char"/>
    <w:basedOn w:val="a1"/>
    <w:link w:val="2"/>
    <w:uiPriority w:val="9"/>
    <w:qFormat/>
    <w:rPr>
      <w:rFonts w:ascii="Calibri Light" w:eastAsia="宋体" w:hAnsi="Calibri Light" w:cs="Times New Roman"/>
      <w:b/>
      <w:bCs/>
      <w:sz w:val="28"/>
      <w:szCs w:val="32"/>
    </w:rPr>
  </w:style>
  <w:style w:type="character" w:customStyle="1" w:styleId="3Char">
    <w:name w:val="标题 3 Char"/>
    <w:basedOn w:val="a1"/>
    <w:link w:val="3"/>
    <w:uiPriority w:val="9"/>
    <w:qFormat/>
    <w:rPr>
      <w:rFonts w:ascii="Calibri" w:eastAsia="宋体" w:hAnsi="Calibri" w:cs="Times New Roman"/>
      <w:b/>
      <w:bCs/>
      <w:sz w:val="24"/>
      <w:szCs w:val="32"/>
    </w:rPr>
  </w:style>
  <w:style w:type="character" w:customStyle="1" w:styleId="4Char">
    <w:name w:val="标题 4 Char"/>
    <w:basedOn w:val="a1"/>
    <w:link w:val="4"/>
    <w:uiPriority w:val="9"/>
    <w:qFormat/>
    <w:rPr>
      <w:rFonts w:ascii="Calibri Light" w:eastAsia="宋体" w:hAnsi="Calibri Light" w:cs="Times New Roman"/>
      <w:b/>
      <w:bCs/>
      <w:sz w:val="24"/>
      <w:szCs w:val="28"/>
    </w:rPr>
  </w:style>
  <w:style w:type="character" w:customStyle="1" w:styleId="1Char">
    <w:name w:val="标题 1 Char"/>
    <w:basedOn w:val="a1"/>
    <w:link w:val="1"/>
    <w:uiPriority w:val="9"/>
    <w:qFormat/>
    <w:rPr>
      <w:b/>
      <w:bCs/>
      <w:kern w:val="44"/>
      <w:sz w:val="44"/>
      <w:szCs w:val="44"/>
    </w:rPr>
  </w:style>
  <w:style w:type="character" w:customStyle="1" w:styleId="5Char">
    <w:name w:val="标题 5 Char"/>
    <w:basedOn w:val="a1"/>
    <w:link w:val="5"/>
    <w:uiPriority w:val="9"/>
    <w:qFormat/>
    <w:rPr>
      <w:b/>
      <w:bCs/>
      <w:sz w:val="28"/>
      <w:szCs w:val="28"/>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character" w:customStyle="1" w:styleId="Char1">
    <w:name w:val="批注框文本 Char"/>
    <w:basedOn w:val="a1"/>
    <w:link w:val="a7"/>
    <w:uiPriority w:val="99"/>
    <w:semiHidden/>
    <w:qFormat/>
    <w:rPr>
      <w:kern w:val="2"/>
      <w:sz w:val="18"/>
      <w:szCs w:val="18"/>
    </w:rPr>
  </w:style>
  <w:style w:type="character" w:customStyle="1" w:styleId="Char0">
    <w:name w:val="批注文字 Char"/>
    <w:basedOn w:val="a1"/>
    <w:link w:val="a5"/>
    <w:uiPriority w:val="99"/>
    <w:semiHidden/>
    <w:qFormat/>
    <w:rPr>
      <w:kern w:val="2"/>
      <w:sz w:val="21"/>
      <w:szCs w:val="22"/>
    </w:rPr>
  </w:style>
  <w:style w:type="character" w:customStyle="1" w:styleId="Char">
    <w:name w:val="批注主题 Char"/>
    <w:basedOn w:val="Char0"/>
    <w:link w:val="a4"/>
    <w:uiPriority w:val="99"/>
    <w:semiHidden/>
    <w:qFormat/>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宋体"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qFormat="1"/>
    <w:lsdException w:name="annotation text" w:qFormat="1"/>
    <w:lsdException w:name="header" w:semiHidden="0" w:qFormat="1"/>
    <w:lsdException w:name="footer" w:semiHidden="0" w:qFormat="1"/>
    <w:lsdException w:name="caption" w:semiHidden="0" w:unhideWhenUsed="0" w:qFormat="1"/>
    <w:lsdException w:name="table of figures"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260" w:after="260" w:line="416" w:lineRule="auto"/>
      <w:outlineLvl w:val="1"/>
    </w:pPr>
    <w:rPr>
      <w:rFonts w:ascii="Calibri Light" w:eastAsia="宋体" w:hAnsi="Calibri Light" w:cs="Times New Roman"/>
      <w:b/>
      <w:bCs/>
      <w:sz w:val="28"/>
      <w:szCs w:val="32"/>
    </w:rPr>
  </w:style>
  <w:style w:type="paragraph" w:styleId="3">
    <w:name w:val="heading 3"/>
    <w:basedOn w:val="a0"/>
    <w:next w:val="a0"/>
    <w:link w:val="3Char"/>
    <w:uiPriority w:val="9"/>
    <w:unhideWhenUsed/>
    <w:qFormat/>
    <w:pPr>
      <w:keepNext/>
      <w:keepLines/>
      <w:spacing w:before="260" w:after="260" w:line="416" w:lineRule="auto"/>
      <w:outlineLvl w:val="2"/>
    </w:pPr>
    <w:rPr>
      <w:rFonts w:ascii="Calibri" w:eastAsia="宋体" w:hAnsi="Calibri" w:cs="Times New Roman"/>
      <w:b/>
      <w:bCs/>
      <w:sz w:val="24"/>
      <w:szCs w:val="32"/>
    </w:rPr>
  </w:style>
  <w:style w:type="paragraph" w:styleId="4">
    <w:name w:val="heading 4"/>
    <w:basedOn w:val="a0"/>
    <w:next w:val="a0"/>
    <w:link w:val="4Char"/>
    <w:uiPriority w:val="9"/>
    <w:unhideWhenUsed/>
    <w:qFormat/>
    <w:pPr>
      <w:keepNext/>
      <w:keepLines/>
      <w:spacing w:before="280" w:after="290" w:line="376" w:lineRule="auto"/>
      <w:outlineLvl w:val="3"/>
    </w:pPr>
    <w:rPr>
      <w:rFonts w:ascii="Calibri Light" w:eastAsia="宋体" w:hAnsi="Calibri Light" w:cs="Times New Roman"/>
      <w:b/>
      <w:bCs/>
      <w:sz w:val="24"/>
      <w:szCs w:val="28"/>
    </w:rPr>
  </w:style>
  <w:style w:type="paragraph" w:styleId="5">
    <w:name w:val="heading 5"/>
    <w:basedOn w:val="a0"/>
    <w:next w:val="a0"/>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semiHidden/>
    <w:unhideWhenUsed/>
    <w:qFormat/>
    <w:rPr>
      <w:b/>
      <w:bCs/>
    </w:rPr>
  </w:style>
  <w:style w:type="paragraph" w:styleId="a5">
    <w:name w:val="annotation text"/>
    <w:basedOn w:val="a0"/>
    <w:link w:val="Char0"/>
    <w:uiPriority w:val="99"/>
    <w:semiHidden/>
    <w:unhideWhenUsed/>
    <w:qFormat/>
    <w:pPr>
      <w:jc w:val="left"/>
    </w:pPr>
  </w:style>
  <w:style w:type="paragraph" w:styleId="7">
    <w:name w:val="toc 7"/>
    <w:basedOn w:val="a0"/>
    <w:next w:val="a0"/>
    <w:uiPriority w:val="39"/>
    <w:unhideWhenUsed/>
    <w:qFormat/>
    <w:pPr>
      <w:ind w:left="1260"/>
      <w:jc w:val="left"/>
    </w:pPr>
    <w:rPr>
      <w:rFonts w:eastAsiaTheme="minorHAnsi"/>
      <w:sz w:val="20"/>
      <w:szCs w:val="20"/>
    </w:rPr>
  </w:style>
  <w:style w:type="paragraph" w:styleId="a6">
    <w:name w:val="caption"/>
    <w:basedOn w:val="a0"/>
    <w:next w:val="a0"/>
    <w:uiPriority w:val="99"/>
    <w:qFormat/>
    <w:rPr>
      <w:rFonts w:ascii="Calibri Light" w:eastAsia="黑体" w:hAnsi="Calibri Light" w:cs="Calibri Light"/>
      <w:sz w:val="20"/>
      <w:szCs w:val="20"/>
    </w:rPr>
  </w:style>
  <w:style w:type="paragraph" w:styleId="50">
    <w:name w:val="toc 5"/>
    <w:basedOn w:val="a0"/>
    <w:next w:val="a0"/>
    <w:uiPriority w:val="39"/>
    <w:unhideWhenUsed/>
    <w:qFormat/>
    <w:pPr>
      <w:ind w:left="840"/>
      <w:jc w:val="left"/>
    </w:pPr>
    <w:rPr>
      <w:rFonts w:eastAsiaTheme="minorHAnsi"/>
      <w:sz w:val="20"/>
      <w:szCs w:val="20"/>
    </w:rPr>
  </w:style>
  <w:style w:type="paragraph" w:styleId="30">
    <w:name w:val="toc 3"/>
    <w:basedOn w:val="a0"/>
    <w:next w:val="a0"/>
    <w:uiPriority w:val="39"/>
    <w:unhideWhenUsed/>
    <w:qFormat/>
    <w:pPr>
      <w:ind w:left="420"/>
      <w:jc w:val="left"/>
    </w:pPr>
    <w:rPr>
      <w:rFonts w:eastAsiaTheme="minorHAnsi"/>
      <w:sz w:val="22"/>
    </w:rPr>
  </w:style>
  <w:style w:type="paragraph" w:styleId="8">
    <w:name w:val="toc 8"/>
    <w:basedOn w:val="a0"/>
    <w:next w:val="a0"/>
    <w:uiPriority w:val="39"/>
    <w:unhideWhenUsed/>
    <w:qFormat/>
    <w:pPr>
      <w:ind w:left="1470"/>
      <w:jc w:val="left"/>
    </w:pPr>
    <w:rPr>
      <w:rFonts w:eastAsiaTheme="minorHAnsi"/>
      <w:sz w:val="20"/>
      <w:szCs w:val="20"/>
    </w:rPr>
  </w:style>
  <w:style w:type="paragraph" w:styleId="a7">
    <w:name w:val="Balloon Text"/>
    <w:basedOn w:val="a0"/>
    <w:link w:val="Char1"/>
    <w:uiPriority w:val="99"/>
    <w:semiHidden/>
    <w:unhideWhenUsed/>
    <w:qFormat/>
    <w:rPr>
      <w:sz w:val="18"/>
      <w:szCs w:val="18"/>
    </w:rPr>
  </w:style>
  <w:style w:type="paragraph" w:styleId="a8">
    <w:name w:val="footer"/>
    <w:basedOn w:val="a0"/>
    <w:link w:val="Char2"/>
    <w:uiPriority w:val="99"/>
    <w:unhideWhenUsed/>
    <w:qFormat/>
    <w:pPr>
      <w:tabs>
        <w:tab w:val="center" w:pos="4153"/>
        <w:tab w:val="right" w:pos="8306"/>
      </w:tabs>
      <w:snapToGrid w:val="0"/>
      <w:jc w:val="left"/>
    </w:pPr>
    <w:rPr>
      <w:sz w:val="18"/>
      <w:szCs w:val="18"/>
    </w:rPr>
  </w:style>
  <w:style w:type="paragraph" w:styleId="a9">
    <w:name w:val="header"/>
    <w:basedOn w:val="a0"/>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tabs>
        <w:tab w:val="right" w:leader="dot" w:pos="8296"/>
      </w:tabs>
      <w:spacing w:before="120"/>
      <w:jc w:val="center"/>
    </w:pPr>
    <w:rPr>
      <w:rFonts w:eastAsiaTheme="minorHAnsi"/>
      <w:b/>
      <w:bCs/>
      <w:sz w:val="32"/>
      <w:szCs w:val="24"/>
    </w:rPr>
  </w:style>
  <w:style w:type="paragraph" w:styleId="40">
    <w:name w:val="toc 4"/>
    <w:basedOn w:val="a0"/>
    <w:next w:val="a0"/>
    <w:uiPriority w:val="39"/>
    <w:unhideWhenUsed/>
    <w:qFormat/>
    <w:pPr>
      <w:ind w:left="630"/>
      <w:jc w:val="left"/>
    </w:pPr>
    <w:rPr>
      <w:rFonts w:eastAsiaTheme="minorHAnsi"/>
      <w:sz w:val="20"/>
      <w:szCs w:val="20"/>
    </w:rPr>
  </w:style>
  <w:style w:type="paragraph" w:styleId="aa">
    <w:name w:val="footnote text"/>
    <w:basedOn w:val="a0"/>
    <w:link w:val="Char4"/>
    <w:uiPriority w:val="99"/>
    <w:semiHidden/>
    <w:unhideWhenUsed/>
    <w:qFormat/>
    <w:pPr>
      <w:snapToGrid w:val="0"/>
      <w:jc w:val="left"/>
    </w:pPr>
    <w:rPr>
      <w:sz w:val="18"/>
      <w:szCs w:val="18"/>
    </w:rPr>
  </w:style>
  <w:style w:type="paragraph" w:styleId="6">
    <w:name w:val="toc 6"/>
    <w:basedOn w:val="a0"/>
    <w:next w:val="a0"/>
    <w:uiPriority w:val="39"/>
    <w:unhideWhenUsed/>
    <w:qFormat/>
    <w:pPr>
      <w:ind w:left="1050"/>
      <w:jc w:val="left"/>
    </w:pPr>
    <w:rPr>
      <w:rFonts w:eastAsiaTheme="minorHAnsi"/>
      <w:sz w:val="20"/>
      <w:szCs w:val="20"/>
    </w:rPr>
  </w:style>
  <w:style w:type="paragraph" w:styleId="ab">
    <w:name w:val="table of figures"/>
    <w:basedOn w:val="a0"/>
    <w:next w:val="a0"/>
    <w:uiPriority w:val="99"/>
    <w:semiHidden/>
    <w:unhideWhenUsed/>
    <w:qFormat/>
    <w:pPr>
      <w:ind w:leftChars="200" w:left="200" w:hangingChars="200" w:hanging="200"/>
    </w:pPr>
  </w:style>
  <w:style w:type="paragraph" w:styleId="20">
    <w:name w:val="toc 2"/>
    <w:basedOn w:val="a0"/>
    <w:next w:val="a0"/>
    <w:uiPriority w:val="39"/>
    <w:unhideWhenUsed/>
    <w:qFormat/>
    <w:pPr>
      <w:ind w:left="210"/>
      <w:jc w:val="left"/>
    </w:pPr>
    <w:rPr>
      <w:rFonts w:eastAsiaTheme="minorHAnsi"/>
      <w:b/>
      <w:bCs/>
      <w:sz w:val="22"/>
    </w:rPr>
  </w:style>
  <w:style w:type="paragraph" w:styleId="9">
    <w:name w:val="toc 9"/>
    <w:basedOn w:val="a0"/>
    <w:next w:val="a0"/>
    <w:uiPriority w:val="39"/>
    <w:unhideWhenUsed/>
    <w:qFormat/>
    <w:pPr>
      <w:ind w:left="1680"/>
      <w:jc w:val="left"/>
    </w:pPr>
    <w:rPr>
      <w:rFonts w:eastAsiaTheme="minorHAnsi"/>
      <w:sz w:val="20"/>
      <w:szCs w:val="20"/>
    </w:rPr>
  </w:style>
  <w:style w:type="character" w:styleId="ac">
    <w:name w:val="annotation reference"/>
    <w:basedOn w:val="a1"/>
    <w:uiPriority w:val="99"/>
    <w:semiHidden/>
    <w:unhideWhenUsed/>
    <w:qFormat/>
    <w:rPr>
      <w:sz w:val="21"/>
      <w:szCs w:val="21"/>
    </w:rPr>
  </w:style>
  <w:style w:type="character" w:styleId="ad">
    <w:name w:val="footnote reference"/>
    <w:basedOn w:val="a1"/>
    <w:uiPriority w:val="99"/>
    <w:semiHidden/>
    <w:unhideWhenUsed/>
    <w:qFormat/>
    <w:rPr>
      <w:vertAlign w:val="superscript"/>
    </w:rPr>
  </w:style>
  <w:style w:type="paragraph" w:customStyle="1" w:styleId="ae">
    <w:name w:val="免责声明"/>
    <w:basedOn w:val="a0"/>
    <w:qFormat/>
    <w:pPr>
      <w:spacing w:line="280" w:lineRule="exact"/>
    </w:pPr>
    <w:rPr>
      <w:rFonts w:ascii="Times New Roman" w:eastAsia="楷体_GB2312" w:hAnsi="Times New Roman" w:cs="宋体"/>
      <w:szCs w:val="20"/>
    </w:rPr>
  </w:style>
  <w:style w:type="character" w:customStyle="1" w:styleId="af">
    <w:name w:val="一年期收益率等"/>
    <w:basedOn w:val="a1"/>
    <w:qFormat/>
    <w:rPr>
      <w:rFonts w:eastAsia="楷体_GB2312"/>
      <w:b/>
      <w:bCs/>
    </w:rPr>
  </w:style>
  <w:style w:type="paragraph" w:customStyle="1" w:styleId="af0">
    <w:name w:val="投资评级白色"/>
    <w:basedOn w:val="a0"/>
    <w:qFormat/>
    <w:pPr>
      <w:spacing w:line="360" w:lineRule="auto"/>
      <w:jc w:val="center"/>
    </w:pPr>
    <w:rPr>
      <w:rFonts w:ascii="Times New Roman" w:eastAsia="楷体_GB2312" w:hAnsi="Times New Roman" w:cs="宋体"/>
      <w:b/>
      <w:bCs/>
      <w:color w:val="FFFFFF"/>
      <w:kern w:val="0"/>
      <w:szCs w:val="20"/>
    </w:rPr>
  </w:style>
  <w:style w:type="paragraph" w:customStyle="1" w:styleId="af1">
    <w:name w:val="投资要点"/>
    <w:basedOn w:val="a0"/>
    <w:qFormat/>
    <w:pPr>
      <w:spacing w:before="156" w:after="156" w:line="320" w:lineRule="atLeast"/>
    </w:pPr>
    <w:rPr>
      <w:rFonts w:ascii="Times New Roman" w:eastAsia="楷体_GB2312" w:hAnsi="Times New Roman" w:cs="宋体"/>
      <w:b/>
      <w:bCs/>
      <w:szCs w:val="20"/>
    </w:rPr>
  </w:style>
  <w:style w:type="paragraph" w:customStyle="1" w:styleId="Af2">
    <w:name w:val="报告日期A"/>
    <w:basedOn w:val="a0"/>
    <w:qFormat/>
    <w:pPr>
      <w:jc w:val="center"/>
    </w:pPr>
    <w:rPr>
      <w:rFonts w:ascii="Times New Roman" w:eastAsia="楷体_GB2312" w:hAnsi="Times New Roman" w:cs="宋体"/>
      <w:b/>
      <w:bCs/>
      <w:szCs w:val="20"/>
    </w:rPr>
  </w:style>
  <w:style w:type="paragraph" w:customStyle="1" w:styleId="af3">
    <w:name w:val="推荐等"/>
    <w:basedOn w:val="a0"/>
    <w:qFormat/>
    <w:pPr>
      <w:spacing w:line="360" w:lineRule="auto"/>
      <w:jc w:val="center"/>
    </w:pPr>
    <w:rPr>
      <w:rFonts w:ascii="Times New Roman" w:eastAsia="楷体_GB2312" w:hAnsi="Times New Roman" w:cs="宋体"/>
      <w:b/>
      <w:bCs/>
      <w:kern w:val="0"/>
      <w:szCs w:val="20"/>
    </w:rPr>
  </w:style>
  <w:style w:type="paragraph" w:customStyle="1" w:styleId="af4">
    <w:name w:val="评级说明内容"/>
    <w:basedOn w:val="a0"/>
    <w:qFormat/>
    <w:pPr>
      <w:spacing w:line="360" w:lineRule="auto"/>
    </w:pPr>
    <w:rPr>
      <w:rFonts w:ascii="Times New Roman" w:eastAsia="楷体_GB2312" w:hAnsi="Times New Roman" w:cs="宋体"/>
      <w:b/>
      <w:bCs/>
      <w:kern w:val="0"/>
      <w:szCs w:val="20"/>
    </w:rPr>
  </w:style>
  <w:style w:type="character" w:customStyle="1" w:styleId="B">
    <w:name w:val="B图标目录"/>
    <w:basedOn w:val="a1"/>
    <w:qFormat/>
    <w:rPr>
      <w:rFonts w:eastAsia="楷体_GB2312"/>
      <w:sz w:val="32"/>
    </w:rPr>
  </w:style>
  <w:style w:type="paragraph" w:customStyle="1" w:styleId="B0">
    <w:name w:val="B图表目录内容"/>
    <w:basedOn w:val="ab"/>
    <w:qFormat/>
    <w:pPr>
      <w:spacing w:line="400" w:lineRule="exact"/>
      <w:ind w:left="840" w:hanging="420"/>
    </w:pPr>
    <w:rPr>
      <w:rFonts w:ascii="Times New Roman" w:eastAsia="楷体_GB2312" w:hAnsi="Times New Roman" w:cs="宋体"/>
      <w:szCs w:val="20"/>
    </w:rPr>
  </w:style>
  <w:style w:type="paragraph" w:customStyle="1" w:styleId="af5">
    <w:name w:val="财富一级标题"/>
    <w:basedOn w:val="a0"/>
    <w:link w:val="af6"/>
    <w:qFormat/>
    <w:pPr>
      <w:keepNext/>
      <w:keepLines/>
      <w:ind w:leftChars="1200" w:left="2520"/>
      <w:outlineLvl w:val="0"/>
    </w:pPr>
    <w:rPr>
      <w:rFonts w:ascii="Times New Roman" w:eastAsia="楷体_GB2312" w:hAnsi="Times New Roman" w:cs="Times New Roman"/>
      <w:b/>
      <w:bCs/>
      <w:sz w:val="28"/>
      <w:szCs w:val="28"/>
    </w:rPr>
  </w:style>
  <w:style w:type="character" w:customStyle="1" w:styleId="af6">
    <w:name w:val="财富一级标题 字符"/>
    <w:link w:val="af5"/>
    <w:qFormat/>
    <w:rPr>
      <w:rFonts w:ascii="Times New Roman" w:eastAsia="楷体_GB2312" w:hAnsi="Times New Roman" w:cs="Times New Roman"/>
      <w:b/>
      <w:bCs/>
      <w:sz w:val="28"/>
      <w:szCs w:val="28"/>
    </w:rPr>
  </w:style>
  <w:style w:type="paragraph" w:customStyle="1" w:styleId="af7">
    <w:name w:val="目录"/>
    <w:basedOn w:val="a0"/>
    <w:qFormat/>
    <w:pPr>
      <w:jc w:val="center"/>
    </w:pPr>
    <w:rPr>
      <w:rFonts w:ascii="Times New Roman" w:eastAsia="楷体_GB2312" w:hAnsi="Times New Roman" w:cs="宋体"/>
      <w:sz w:val="32"/>
      <w:szCs w:val="20"/>
    </w:rPr>
  </w:style>
  <w:style w:type="paragraph" w:customStyle="1" w:styleId="af8">
    <w:name w:val="目录内容"/>
    <w:basedOn w:val="10"/>
    <w:qFormat/>
    <w:pPr>
      <w:tabs>
        <w:tab w:val="right" w:leader="dot" w:pos="8931"/>
      </w:tabs>
      <w:spacing w:line="400" w:lineRule="exact"/>
      <w:ind w:rightChars="316" w:right="664"/>
    </w:pPr>
    <w:rPr>
      <w:rFonts w:ascii="楷体_GB2312" w:eastAsia="楷体_GB2312" w:hAnsi="Times New Roman" w:cs="宋体"/>
      <w:szCs w:val="20"/>
    </w:rPr>
  </w:style>
  <w:style w:type="paragraph" w:customStyle="1" w:styleId="af9">
    <w:name w:val="行情图"/>
    <w:basedOn w:val="a0"/>
    <w:qFormat/>
    <w:pPr>
      <w:jc w:val="center"/>
    </w:pPr>
    <w:rPr>
      <w:rFonts w:ascii="Times New Roman" w:eastAsia="楷体_GB2312" w:hAnsi="Times New Roman" w:cs="宋体"/>
      <w:sz w:val="15"/>
      <w:szCs w:val="20"/>
    </w:rPr>
  </w:style>
  <w:style w:type="character" w:customStyle="1" w:styleId="B1">
    <w:name w:val="B评级："/>
    <w:basedOn w:val="a1"/>
    <w:qFormat/>
    <w:rPr>
      <w:rFonts w:eastAsia="楷体_GB2312"/>
      <w:b/>
      <w:bCs/>
      <w:sz w:val="28"/>
    </w:rPr>
  </w:style>
  <w:style w:type="character" w:customStyle="1" w:styleId="B2">
    <w:name w:val="B评级系统说明"/>
    <w:basedOn w:val="a1"/>
    <w:qFormat/>
    <w:rPr>
      <w:rFonts w:eastAsia="楷体_GB2312"/>
      <w:b/>
      <w:bCs/>
      <w:sz w:val="28"/>
      <w:u w:val="single"/>
    </w:rPr>
  </w:style>
  <w:style w:type="character" w:customStyle="1" w:styleId="B10">
    <w:name w:val="B上次评级1"/>
    <w:basedOn w:val="a1"/>
    <w:qFormat/>
    <w:rPr>
      <w:rFonts w:ascii="楷体_GB2312" w:eastAsia="楷体_GB2312" w:hAnsi="楷体_GB2312"/>
      <w:sz w:val="18"/>
    </w:rPr>
  </w:style>
  <w:style w:type="paragraph" w:customStyle="1" w:styleId="B3">
    <w:name w:val="B图表目录行距"/>
    <w:basedOn w:val="a0"/>
    <w:qFormat/>
    <w:pPr>
      <w:spacing w:line="400" w:lineRule="exact"/>
      <w:ind w:rightChars="315" w:right="661"/>
    </w:pPr>
    <w:rPr>
      <w:rFonts w:ascii="Times New Roman" w:eastAsia="宋体" w:hAnsi="Times New Roman" w:cs="宋体"/>
      <w:szCs w:val="20"/>
    </w:rPr>
  </w:style>
  <w:style w:type="character" w:customStyle="1" w:styleId="B4">
    <w:name w:val="B重点公司表格"/>
    <w:basedOn w:val="a1"/>
    <w:qFormat/>
    <w:rPr>
      <w:rFonts w:ascii="楷体_GB2312" w:eastAsia="楷体_GB2312" w:hAnsi="楷体_GB2312"/>
    </w:rPr>
  </w:style>
  <w:style w:type="paragraph" w:customStyle="1" w:styleId="B5">
    <w:name w:val="B副标题"/>
    <w:basedOn w:val="a0"/>
    <w:qFormat/>
    <w:pPr>
      <w:jc w:val="right"/>
    </w:pPr>
    <w:rPr>
      <w:rFonts w:ascii="楷体_GB2312" w:eastAsia="楷体_GB2312" w:hAnsi="Times New Roman" w:cs="宋体"/>
      <w:b/>
      <w:bCs/>
      <w:sz w:val="24"/>
      <w:szCs w:val="20"/>
    </w:rPr>
  </w:style>
  <w:style w:type="paragraph" w:customStyle="1" w:styleId="B20">
    <w:name w:val="B上次评级2"/>
    <w:basedOn w:val="a0"/>
    <w:qFormat/>
    <w:pPr>
      <w:jc w:val="center"/>
    </w:pPr>
    <w:rPr>
      <w:rFonts w:ascii="楷体_GB2312" w:eastAsia="楷体_GB2312" w:hAnsi="Times New Roman" w:cs="宋体"/>
      <w:szCs w:val="20"/>
    </w:rPr>
  </w:style>
  <w:style w:type="paragraph" w:customStyle="1" w:styleId="B6">
    <w:name w:val="B行业深度报告同一行"/>
    <w:basedOn w:val="a0"/>
    <w:qFormat/>
    <w:pPr>
      <w:jc w:val="center"/>
    </w:pPr>
    <w:rPr>
      <w:rFonts w:ascii="楷体_GB2312" w:eastAsia="楷体_GB2312" w:hAnsi="Times New Roman" w:cs="宋体"/>
      <w:b/>
      <w:bCs/>
      <w:color w:val="FFFFFF"/>
      <w:sz w:val="28"/>
      <w:szCs w:val="20"/>
    </w:rPr>
  </w:style>
  <w:style w:type="paragraph" w:customStyle="1" w:styleId="B7">
    <w:name w:val="B报告标题"/>
    <w:basedOn w:val="a0"/>
    <w:qFormat/>
    <w:pPr>
      <w:jc w:val="center"/>
    </w:pPr>
    <w:rPr>
      <w:rFonts w:ascii="楷体_GB2312" w:eastAsia="楷体_GB2312" w:hAnsi="Times New Roman" w:cs="宋体"/>
      <w:b/>
      <w:bCs/>
      <w:sz w:val="30"/>
      <w:szCs w:val="20"/>
    </w:rPr>
  </w:style>
  <w:style w:type="paragraph" w:customStyle="1" w:styleId="GB2312RGB36649715">
    <w:name w:val="样式 (中文) 楷体_GB2312 加粗 自定义颜色(RGB(366497)) 居中 行距: 1.5 倍行距"/>
    <w:basedOn w:val="a0"/>
    <w:qFormat/>
    <w:pPr>
      <w:spacing w:line="360" w:lineRule="auto"/>
      <w:jc w:val="center"/>
    </w:pPr>
    <w:rPr>
      <w:rFonts w:ascii="Times New Roman" w:eastAsia="楷体_GB2312" w:hAnsi="Times New Roman" w:cs="宋体"/>
      <w:b/>
      <w:bCs/>
      <w:color w:val="244061"/>
      <w:kern w:val="0"/>
      <w:szCs w:val="20"/>
    </w:rPr>
  </w:style>
  <w:style w:type="paragraph" w:customStyle="1" w:styleId="A">
    <w:name w:val="A财富策略点评"/>
    <w:basedOn w:val="a0"/>
    <w:qFormat/>
    <w:pPr>
      <w:numPr>
        <w:numId w:val="1"/>
      </w:numPr>
    </w:pPr>
    <w:rPr>
      <w:rFonts w:ascii="Times New Roman" w:eastAsia="宋体" w:hAnsi="Times New Roman" w:cs="Times New Roman"/>
      <w:szCs w:val="24"/>
    </w:rPr>
  </w:style>
  <w:style w:type="paragraph" w:customStyle="1" w:styleId="Afa">
    <w:name w:val="A财富样式"/>
    <w:basedOn w:val="a0"/>
    <w:qFormat/>
    <w:pPr>
      <w:spacing w:beforeLines="50" w:before="156" w:afterLines="50" w:after="156" w:line="360" w:lineRule="exact"/>
      <w:ind w:leftChars="1215" w:left="2551" w:firstLineChars="196" w:firstLine="412"/>
    </w:pPr>
    <w:rPr>
      <w:rFonts w:ascii="Times New Roman" w:eastAsia="楷体_GB2312" w:hAnsi="Times New Roman" w:cs="宋体"/>
      <w:szCs w:val="20"/>
    </w:rPr>
  </w:style>
  <w:style w:type="paragraph" w:customStyle="1" w:styleId="B21">
    <w:name w:val="B图表目录内容2"/>
    <w:basedOn w:val="ab"/>
    <w:qFormat/>
    <w:pPr>
      <w:spacing w:line="400" w:lineRule="exact"/>
      <w:ind w:left="840" w:hanging="420"/>
    </w:pPr>
    <w:rPr>
      <w:rFonts w:ascii="Times New Roman" w:eastAsia="楷体_GB2312" w:hAnsi="Times New Roman" w:cs="宋体"/>
      <w:szCs w:val="20"/>
    </w:rPr>
  </w:style>
  <w:style w:type="paragraph" w:customStyle="1" w:styleId="B11">
    <w:name w:val="B图表目录内容1"/>
    <w:basedOn w:val="a0"/>
    <w:qFormat/>
    <w:pPr>
      <w:spacing w:line="400" w:lineRule="exact"/>
      <w:ind w:leftChars="200" w:left="840" w:hangingChars="200" w:hanging="420"/>
    </w:pPr>
    <w:rPr>
      <w:rFonts w:ascii="Times New Roman" w:eastAsia="楷体_GB2312" w:hAnsi="Times New Roman" w:cs="宋体"/>
      <w:szCs w:val="20"/>
    </w:rPr>
  </w:style>
  <w:style w:type="paragraph" w:customStyle="1" w:styleId="afb">
    <w:name w:val="样式 图表目录"/>
    <w:basedOn w:val="ab"/>
    <w:qFormat/>
    <w:pPr>
      <w:ind w:left="840" w:hanging="420"/>
      <w:jc w:val="center"/>
    </w:pPr>
    <w:rPr>
      <w:rFonts w:ascii="Times New Roman" w:eastAsia="宋体" w:hAnsi="Times New Roman" w:cs="宋体"/>
      <w:szCs w:val="20"/>
    </w:rPr>
  </w:style>
  <w:style w:type="paragraph" w:customStyle="1" w:styleId="Afc">
    <w:name w:val="A财富三级标题"/>
    <w:basedOn w:val="a0"/>
    <w:qFormat/>
    <w:pPr>
      <w:keepNext/>
      <w:keepLines/>
      <w:spacing w:beforeLines="50" w:before="156" w:afterLines="50" w:after="156" w:line="360" w:lineRule="exact"/>
      <w:ind w:leftChars="1200" w:left="2520"/>
      <w:outlineLvl w:val="1"/>
    </w:pPr>
    <w:rPr>
      <w:rFonts w:ascii="Times New Roman" w:eastAsia="楷体_GB2312" w:hAnsi="Times New Roman" w:cs="Times New Roman"/>
      <w:b/>
      <w:bCs/>
      <w:sz w:val="22"/>
      <w:szCs w:val="24"/>
    </w:rPr>
  </w:style>
  <w:style w:type="paragraph" w:styleId="afd">
    <w:name w:val="List Paragraph"/>
    <w:basedOn w:val="a0"/>
    <w:uiPriority w:val="34"/>
    <w:qFormat/>
    <w:pPr>
      <w:ind w:firstLineChars="200" w:firstLine="420"/>
    </w:pPr>
  </w:style>
  <w:style w:type="character" w:customStyle="1" w:styleId="Char3">
    <w:name w:val="页眉 Char"/>
    <w:basedOn w:val="a1"/>
    <w:link w:val="a9"/>
    <w:uiPriority w:val="99"/>
    <w:qFormat/>
    <w:rPr>
      <w:sz w:val="18"/>
      <w:szCs w:val="18"/>
    </w:rPr>
  </w:style>
  <w:style w:type="character" w:customStyle="1" w:styleId="Char2">
    <w:name w:val="页脚 Char"/>
    <w:basedOn w:val="a1"/>
    <w:link w:val="a8"/>
    <w:uiPriority w:val="99"/>
    <w:qFormat/>
    <w:rPr>
      <w:sz w:val="18"/>
      <w:szCs w:val="18"/>
    </w:rPr>
  </w:style>
  <w:style w:type="character" w:customStyle="1" w:styleId="Char4">
    <w:name w:val="脚注文本 Char"/>
    <w:basedOn w:val="a1"/>
    <w:link w:val="aa"/>
    <w:uiPriority w:val="99"/>
    <w:semiHidden/>
    <w:qFormat/>
    <w:rPr>
      <w:sz w:val="18"/>
      <w:szCs w:val="18"/>
    </w:rPr>
  </w:style>
  <w:style w:type="paragraph" w:customStyle="1" w:styleId="11">
    <w:name w:val="无间隔1"/>
    <w:uiPriority w:val="99"/>
    <w:qFormat/>
    <w:pPr>
      <w:widowControl w:val="0"/>
      <w:jc w:val="both"/>
    </w:pPr>
    <w:rPr>
      <w:rFonts w:ascii="Calibri" w:hAnsi="Calibri"/>
      <w:kern w:val="2"/>
      <w:sz w:val="21"/>
      <w:szCs w:val="22"/>
    </w:rPr>
  </w:style>
  <w:style w:type="character" w:customStyle="1" w:styleId="2Char">
    <w:name w:val="标题 2 Char"/>
    <w:basedOn w:val="a1"/>
    <w:link w:val="2"/>
    <w:uiPriority w:val="9"/>
    <w:qFormat/>
    <w:rPr>
      <w:rFonts w:ascii="Calibri Light" w:eastAsia="宋体" w:hAnsi="Calibri Light" w:cs="Times New Roman"/>
      <w:b/>
      <w:bCs/>
      <w:sz w:val="28"/>
      <w:szCs w:val="32"/>
    </w:rPr>
  </w:style>
  <w:style w:type="character" w:customStyle="1" w:styleId="3Char">
    <w:name w:val="标题 3 Char"/>
    <w:basedOn w:val="a1"/>
    <w:link w:val="3"/>
    <w:uiPriority w:val="9"/>
    <w:qFormat/>
    <w:rPr>
      <w:rFonts w:ascii="Calibri" w:eastAsia="宋体" w:hAnsi="Calibri" w:cs="Times New Roman"/>
      <w:b/>
      <w:bCs/>
      <w:sz w:val="24"/>
      <w:szCs w:val="32"/>
    </w:rPr>
  </w:style>
  <w:style w:type="character" w:customStyle="1" w:styleId="4Char">
    <w:name w:val="标题 4 Char"/>
    <w:basedOn w:val="a1"/>
    <w:link w:val="4"/>
    <w:uiPriority w:val="9"/>
    <w:qFormat/>
    <w:rPr>
      <w:rFonts w:ascii="Calibri Light" w:eastAsia="宋体" w:hAnsi="Calibri Light" w:cs="Times New Roman"/>
      <w:b/>
      <w:bCs/>
      <w:sz w:val="24"/>
      <w:szCs w:val="28"/>
    </w:rPr>
  </w:style>
  <w:style w:type="character" w:customStyle="1" w:styleId="1Char">
    <w:name w:val="标题 1 Char"/>
    <w:basedOn w:val="a1"/>
    <w:link w:val="1"/>
    <w:uiPriority w:val="9"/>
    <w:qFormat/>
    <w:rPr>
      <w:b/>
      <w:bCs/>
      <w:kern w:val="44"/>
      <w:sz w:val="44"/>
      <w:szCs w:val="44"/>
    </w:rPr>
  </w:style>
  <w:style w:type="character" w:customStyle="1" w:styleId="5Char">
    <w:name w:val="标题 5 Char"/>
    <w:basedOn w:val="a1"/>
    <w:link w:val="5"/>
    <w:uiPriority w:val="9"/>
    <w:qFormat/>
    <w:rPr>
      <w:b/>
      <w:bCs/>
      <w:sz w:val="28"/>
      <w:szCs w:val="28"/>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character" w:customStyle="1" w:styleId="Char1">
    <w:name w:val="批注框文本 Char"/>
    <w:basedOn w:val="a1"/>
    <w:link w:val="a7"/>
    <w:uiPriority w:val="99"/>
    <w:semiHidden/>
    <w:qFormat/>
    <w:rPr>
      <w:kern w:val="2"/>
      <w:sz w:val="18"/>
      <w:szCs w:val="18"/>
    </w:rPr>
  </w:style>
  <w:style w:type="character" w:customStyle="1" w:styleId="Char0">
    <w:name w:val="批注文字 Char"/>
    <w:basedOn w:val="a1"/>
    <w:link w:val="a5"/>
    <w:uiPriority w:val="99"/>
    <w:semiHidden/>
    <w:qFormat/>
    <w:rPr>
      <w:kern w:val="2"/>
      <w:sz w:val="21"/>
      <w:szCs w:val="22"/>
    </w:rPr>
  </w:style>
  <w:style w:type="character" w:customStyle="1" w:styleId="Char">
    <w:name w:val="批注主题 Char"/>
    <w:basedOn w:val="Char0"/>
    <w:link w:val="a4"/>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chart" Target="charts/chart7.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chart" Target="charts/chart3.xml"/><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image" Target="media/image139.png"/><Relationship Id="rId175" Type="http://schemas.openxmlformats.org/officeDocument/2006/relationships/image" Target="media/image155.png"/><Relationship Id="rId170"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chart" Target="charts/chart11.xml"/><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microsoft.com/office/2007/relationships/stylesWithEffects" Target="stylesWithEffects.xml"/><Relationship Id="rId90" Type="http://schemas.openxmlformats.org/officeDocument/2006/relationships/image" Target="media/image81.jpeg"/><Relationship Id="rId95" Type="http://schemas.openxmlformats.org/officeDocument/2006/relationships/image" Target="media/image86.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chart" Target="charts/chart4.xml"/><Relationship Id="rId118" Type="http://schemas.openxmlformats.org/officeDocument/2006/relationships/chart" Target="charts/chart8.xml"/><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jpeg"/><Relationship Id="rId108" Type="http://schemas.openxmlformats.org/officeDocument/2006/relationships/image" Target="media/image99.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chart" Target="charts/chart5.xml"/><Relationship Id="rId119" Type="http://schemas.openxmlformats.org/officeDocument/2006/relationships/chart" Target="charts/chart9.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jpe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jpeg"/><Relationship Id="rId172" Type="http://schemas.openxmlformats.org/officeDocument/2006/relationships/image" Target="media/image15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02.png"/><Relationship Id="rId125" Type="http://schemas.openxmlformats.org/officeDocument/2006/relationships/image" Target="media/image105.jpe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chart" Target="charts/chart1.xml"/><Relationship Id="rId115" Type="http://schemas.openxmlformats.org/officeDocument/2006/relationships/image" Target="media/image101.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32.png"/><Relationship Id="rId173" Type="http://schemas.openxmlformats.org/officeDocument/2006/relationships/image" Target="media/image15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06.png"/><Relationship Id="rId147" Type="http://schemas.openxmlformats.org/officeDocument/2006/relationships/image" Target="media/image127.jpeg"/><Relationship Id="rId168" Type="http://schemas.openxmlformats.org/officeDocument/2006/relationships/image" Target="media/image148.pn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chart" Target="charts/chart6.xml"/><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chart" Target="charts/chart2.xml"/><Relationship Id="rId132" Type="http://schemas.openxmlformats.org/officeDocument/2006/relationships/image" Target="media/image112.jpe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07.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chart" Target="charts/chart10.xml"/><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xy\Desktop\&#24635;&#27036;&#24037;&#20316;&#24213;&#312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cap="all" spc="150" baseline="0">
                <a:solidFill>
                  <a:sysClr val="windowText" lastClr="000000"/>
                </a:solidFill>
                <a:latin typeface="宋体" panose="02010600030101010101" charset="-122"/>
                <a:ea typeface="宋体" panose="02010600030101010101" charset="-122"/>
                <a:cs typeface="宋体" panose="02010600030101010101" charset="-122"/>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1</a:t>
            </a:r>
            <a:r>
              <a:rPr lang="zh-CN" altLang="en-US" sz="1000" b="1">
                <a:solidFill>
                  <a:sysClr val="windowText" lastClr="000000"/>
                </a:solidFill>
                <a:latin typeface="宋体" panose="02010600030101010101" charset="-122"/>
                <a:ea typeface="宋体" panose="02010600030101010101" charset="-122"/>
              </a:rPr>
              <a:t>  各行业商标品牌价值与企业数量分布</a:t>
            </a:r>
            <a:endParaRPr lang="zh-CN" sz="1000" b="1">
              <a:solidFill>
                <a:sysClr val="windowText" lastClr="000000"/>
              </a:solidFill>
              <a:latin typeface="宋体" panose="02010600030101010101" charset="-122"/>
              <a:ea typeface="宋体" panose="02010600030101010101" charset="-122"/>
            </a:endParaRPr>
          </a:p>
        </c:rich>
      </c:tx>
      <c:layout>
        <c:manualLayout>
          <c:xMode val="edge"/>
          <c:yMode val="edge"/>
          <c:x val="0.15985920433194101"/>
          <c:y val="0.94110207768744403"/>
        </c:manualLayout>
      </c:layout>
      <c:overlay val="0"/>
      <c:spPr>
        <a:noFill/>
        <a:ln w="25400">
          <a:noFill/>
        </a:ln>
        <a:effectLst/>
      </c:spPr>
    </c:title>
    <c:autoTitleDeleted val="0"/>
    <c:plotArea>
      <c:layout>
        <c:manualLayout>
          <c:layoutTarget val="inner"/>
          <c:xMode val="edge"/>
          <c:yMode val="edge"/>
          <c:x val="9.7341267880554597E-2"/>
          <c:y val="0.19658693821572401"/>
          <c:w val="0.78392336153786502"/>
          <c:h val="0.433829810747341"/>
        </c:manualLayout>
      </c:layout>
      <c:barChart>
        <c:barDir val="col"/>
        <c:grouping val="clustered"/>
        <c:varyColors val="0"/>
        <c:ser>
          <c:idx val="2"/>
          <c:order val="2"/>
          <c:tx>
            <c:strRef>
              <c:f>图表!$B$2</c:f>
              <c:strCache>
                <c:ptCount val="1"/>
                <c:pt idx="0">
                  <c:v>品牌价值（按行业汇总：亿元）</c:v>
                </c:pt>
              </c:strCache>
            </c:strRef>
          </c:tx>
          <c:spPr>
            <a:solidFill>
              <a:srgbClr val="FF8080"/>
            </a:solidFill>
            <a:ln w="25400">
              <a:noFill/>
            </a:ln>
            <a:effectLst>
              <a:innerShdw blurRad="114300">
                <a:schemeClr val="accent3"/>
              </a:innerShdw>
            </a:effectLst>
          </c:spPr>
          <c:invertIfNegative val="0"/>
          <c:cat>
            <c:strRef>
              <c:f>图表!$A$3:$A$16</c:f>
              <c:strCache>
                <c:ptCount val="14"/>
                <c:pt idx="0">
                  <c:v>金融业</c:v>
                </c:pt>
                <c:pt idx="1">
                  <c:v>制造业</c:v>
                </c:pt>
                <c:pt idx="2">
                  <c:v>电、热、气及水业</c:v>
                </c:pt>
                <c:pt idx="3">
                  <c:v>采矿业</c:v>
                </c:pt>
                <c:pt idx="4">
                  <c:v>建筑业</c:v>
                </c:pt>
                <c:pt idx="5">
                  <c:v>交运、仓储和邮政业</c:v>
                </c:pt>
                <c:pt idx="6">
                  <c:v>文化、体育和娱乐业</c:v>
                </c:pt>
                <c:pt idx="7">
                  <c:v>租赁和商务服务业</c:v>
                </c:pt>
                <c:pt idx="8">
                  <c:v>信息传输、软件业等</c:v>
                </c:pt>
                <c:pt idx="9">
                  <c:v>批发和零售业</c:v>
                </c:pt>
                <c:pt idx="10">
                  <c:v>房地产业</c:v>
                </c:pt>
                <c:pt idx="11">
                  <c:v>水利、环境和公共设施业</c:v>
                </c:pt>
                <c:pt idx="12">
                  <c:v>农、林、牧、渔业</c:v>
                </c:pt>
                <c:pt idx="13">
                  <c:v>住宿和餐饮业</c:v>
                </c:pt>
              </c:strCache>
            </c:strRef>
          </c:cat>
          <c:val>
            <c:numRef>
              <c:f>图表!$B$3:$B$16</c:f>
              <c:numCache>
                <c:formatCode>General</c:formatCode>
                <c:ptCount val="14"/>
                <c:pt idx="0">
                  <c:v>14000.535607182301</c:v>
                </c:pt>
                <c:pt idx="1">
                  <c:v>10328.0528656073</c:v>
                </c:pt>
                <c:pt idx="2">
                  <c:v>2577.1643217057599</c:v>
                </c:pt>
                <c:pt idx="3">
                  <c:v>2549.9494343195202</c:v>
                </c:pt>
                <c:pt idx="4">
                  <c:v>1659.0065943684299</c:v>
                </c:pt>
                <c:pt idx="5">
                  <c:v>1624.5146640953501</c:v>
                </c:pt>
                <c:pt idx="6">
                  <c:v>917.41207853672404</c:v>
                </c:pt>
                <c:pt idx="7">
                  <c:v>875.43587019956203</c:v>
                </c:pt>
                <c:pt idx="8">
                  <c:v>847.26189666243295</c:v>
                </c:pt>
                <c:pt idx="9">
                  <c:v>668.43512406154002</c:v>
                </c:pt>
                <c:pt idx="10">
                  <c:v>552.65555869818195</c:v>
                </c:pt>
                <c:pt idx="11">
                  <c:v>550.64620053347096</c:v>
                </c:pt>
                <c:pt idx="12">
                  <c:v>300.93056349476001</c:v>
                </c:pt>
                <c:pt idx="13">
                  <c:v>123.023442161202</c:v>
                </c:pt>
              </c:numCache>
            </c:numRef>
          </c:val>
          <c:extLst xmlns:c16r2="http://schemas.microsoft.com/office/drawing/2015/06/chart">
            <c:ext xmlns:c16="http://schemas.microsoft.com/office/drawing/2014/chart" uri="{C3380CC4-5D6E-409C-BE32-E72D297353CC}">
              <c16:uniqueId val="{00000000-2EA4-4363-A83B-44DB0F8B857B}"/>
            </c:ext>
          </c:extLst>
        </c:ser>
        <c:dLbls>
          <c:showLegendKey val="0"/>
          <c:showVal val="0"/>
          <c:showCatName val="0"/>
          <c:showSerName val="0"/>
          <c:showPercent val="0"/>
          <c:showBubbleSize val="0"/>
        </c:dLbls>
        <c:gapWidth val="219"/>
        <c:axId val="244612480"/>
        <c:axId val="244614272"/>
      </c:barChart>
      <c:lineChart>
        <c:grouping val="standard"/>
        <c:varyColors val="0"/>
        <c:ser>
          <c:idx val="0"/>
          <c:order val="0"/>
          <c:tx>
            <c:strRef>
              <c:f>图表!$D$2</c:f>
              <c:strCache>
                <c:ptCount val="1"/>
                <c:pt idx="0">
                  <c:v>商标品牌价值占比（按行业汇总：%，右轴）</c:v>
                </c:pt>
              </c:strCache>
            </c:strRef>
          </c:tx>
          <c:spPr>
            <a:ln w="25400" cap="rnd" cmpd="sng" algn="ctr">
              <a:solidFill>
                <a:srgbClr val="FF0000"/>
              </a:solidFill>
              <a:prstDash val="solid"/>
              <a:round/>
            </a:ln>
            <a:effectLst/>
          </c:spPr>
          <c:marker>
            <c:symbol val="diamond"/>
            <c:size val="6"/>
            <c:spPr>
              <a:solidFill>
                <a:srgbClr val="FF0000"/>
              </a:solidFill>
              <a:ln w="6350" cap="flat" cmpd="sng" algn="ctr">
                <a:noFill/>
                <a:prstDash val="solid"/>
                <a:round/>
              </a:ln>
              <a:effectLst/>
            </c:spPr>
          </c:marker>
          <c:cat>
            <c:strRef>
              <c:f>图表!$A$3:$A$16</c:f>
              <c:strCache>
                <c:ptCount val="14"/>
                <c:pt idx="0">
                  <c:v>金融业</c:v>
                </c:pt>
                <c:pt idx="1">
                  <c:v>制造业</c:v>
                </c:pt>
                <c:pt idx="2">
                  <c:v>电、热、气及水业</c:v>
                </c:pt>
                <c:pt idx="3">
                  <c:v>采矿业</c:v>
                </c:pt>
                <c:pt idx="4">
                  <c:v>建筑业</c:v>
                </c:pt>
                <c:pt idx="5">
                  <c:v>交运、仓储和邮政业</c:v>
                </c:pt>
                <c:pt idx="6">
                  <c:v>文化、体育和娱乐业</c:v>
                </c:pt>
                <c:pt idx="7">
                  <c:v>租赁和商务服务业</c:v>
                </c:pt>
                <c:pt idx="8">
                  <c:v>信息传输、软件业等</c:v>
                </c:pt>
                <c:pt idx="9">
                  <c:v>批发和零售业</c:v>
                </c:pt>
                <c:pt idx="10">
                  <c:v>房地产业</c:v>
                </c:pt>
                <c:pt idx="11">
                  <c:v>水利、环境和公共设施业</c:v>
                </c:pt>
                <c:pt idx="12">
                  <c:v>农、林、牧、渔业</c:v>
                </c:pt>
                <c:pt idx="13">
                  <c:v>住宿和餐饮业</c:v>
                </c:pt>
              </c:strCache>
            </c:strRef>
          </c:cat>
          <c:val>
            <c:numRef>
              <c:f>图表!$D$3:$D$16</c:f>
              <c:numCache>
                <c:formatCode>0.00%</c:formatCode>
                <c:ptCount val="14"/>
                <c:pt idx="0">
                  <c:v>0.37260217118168099</c:v>
                </c:pt>
                <c:pt idx="1">
                  <c:v>0.27486483587315802</c:v>
                </c:pt>
                <c:pt idx="2">
                  <c:v>6.8587163284447403E-2</c:v>
                </c:pt>
                <c:pt idx="3">
                  <c:v>6.7862881984567802E-2</c:v>
                </c:pt>
                <c:pt idx="4">
                  <c:v>4.4151843644416697E-2</c:v>
                </c:pt>
                <c:pt idx="5">
                  <c:v>4.3233895326682099E-2</c:v>
                </c:pt>
                <c:pt idx="6">
                  <c:v>2.4415475373365199E-2</c:v>
                </c:pt>
                <c:pt idx="7">
                  <c:v>2.3298344800419299E-2</c:v>
                </c:pt>
                <c:pt idx="8">
                  <c:v>2.2548538935466201E-2</c:v>
                </c:pt>
                <c:pt idx="9">
                  <c:v>1.7789346458406699E-2</c:v>
                </c:pt>
                <c:pt idx="10">
                  <c:v>1.4708055953297199E-2</c:v>
                </c:pt>
                <c:pt idx="11">
                  <c:v>1.46545800552417E-2</c:v>
                </c:pt>
                <c:pt idx="12">
                  <c:v>8.0087922690295198E-3</c:v>
                </c:pt>
                <c:pt idx="13">
                  <c:v>3.2740748598212499E-3</c:v>
                </c:pt>
              </c:numCache>
            </c:numRef>
          </c:val>
          <c:smooth val="0"/>
          <c:extLst xmlns:c16r2="http://schemas.microsoft.com/office/drawing/2015/06/chart">
            <c:ext xmlns:c16="http://schemas.microsoft.com/office/drawing/2014/chart" uri="{C3380CC4-5D6E-409C-BE32-E72D297353CC}">
              <c16:uniqueId val="{00000001-2EA4-4363-A83B-44DB0F8B857B}"/>
            </c:ext>
          </c:extLst>
        </c:ser>
        <c:ser>
          <c:idx val="1"/>
          <c:order val="1"/>
          <c:tx>
            <c:strRef>
              <c:f>图表!$E$2</c:f>
              <c:strCache>
                <c:ptCount val="1"/>
                <c:pt idx="0">
                  <c:v>企业数量占比（按行业汇总：%，右轴）</c:v>
                </c:pt>
              </c:strCache>
            </c:strRef>
          </c:tx>
          <c:spPr>
            <a:ln w="25400" cap="rnd" cmpd="sng" algn="ctr">
              <a:solidFill>
                <a:srgbClr val="044E7E"/>
              </a:solidFill>
              <a:prstDash val="solid"/>
              <a:round/>
            </a:ln>
            <a:effectLst/>
          </c:spPr>
          <c:marker>
            <c:symbol val="none"/>
          </c:marker>
          <c:cat>
            <c:strRef>
              <c:f>图表!$A$3:$A$16</c:f>
              <c:strCache>
                <c:ptCount val="14"/>
                <c:pt idx="0">
                  <c:v>金融业</c:v>
                </c:pt>
                <c:pt idx="1">
                  <c:v>制造业</c:v>
                </c:pt>
                <c:pt idx="2">
                  <c:v>电、热、气及水业</c:v>
                </c:pt>
                <c:pt idx="3">
                  <c:v>采矿业</c:v>
                </c:pt>
                <c:pt idx="4">
                  <c:v>建筑业</c:v>
                </c:pt>
                <c:pt idx="5">
                  <c:v>交运、仓储和邮政业</c:v>
                </c:pt>
                <c:pt idx="6">
                  <c:v>文化、体育和娱乐业</c:v>
                </c:pt>
                <c:pt idx="7">
                  <c:v>租赁和商务服务业</c:v>
                </c:pt>
                <c:pt idx="8">
                  <c:v>信息传输、软件业等</c:v>
                </c:pt>
                <c:pt idx="9">
                  <c:v>批发和零售业</c:v>
                </c:pt>
                <c:pt idx="10">
                  <c:v>房地产业</c:v>
                </c:pt>
                <c:pt idx="11">
                  <c:v>水利、环境和公共设施业</c:v>
                </c:pt>
                <c:pt idx="12">
                  <c:v>农、林、牧、渔业</c:v>
                </c:pt>
                <c:pt idx="13">
                  <c:v>住宿和餐饮业</c:v>
                </c:pt>
              </c:strCache>
            </c:strRef>
          </c:cat>
          <c:val>
            <c:numRef>
              <c:f>图表!$E$3:$E$16</c:f>
              <c:numCache>
                <c:formatCode>0.00%</c:formatCode>
                <c:ptCount val="14"/>
                <c:pt idx="0">
                  <c:v>0.24</c:v>
                </c:pt>
                <c:pt idx="1">
                  <c:v>0.32</c:v>
                </c:pt>
                <c:pt idx="2">
                  <c:v>7.0000000000000007E-2</c:v>
                </c:pt>
                <c:pt idx="3">
                  <c:v>0.03</c:v>
                </c:pt>
                <c:pt idx="4">
                  <c:v>0.04</c:v>
                </c:pt>
                <c:pt idx="5">
                  <c:v>7.0000000000000007E-2</c:v>
                </c:pt>
                <c:pt idx="6">
                  <c:v>0.05</c:v>
                </c:pt>
                <c:pt idx="7">
                  <c:v>0.03</c:v>
                </c:pt>
                <c:pt idx="8">
                  <c:v>0.04</c:v>
                </c:pt>
                <c:pt idx="9">
                  <c:v>0.04</c:v>
                </c:pt>
                <c:pt idx="10">
                  <c:v>0.03</c:v>
                </c:pt>
                <c:pt idx="11">
                  <c:v>0.02</c:v>
                </c:pt>
                <c:pt idx="12">
                  <c:v>0.01</c:v>
                </c:pt>
                <c:pt idx="13">
                  <c:v>0.01</c:v>
                </c:pt>
              </c:numCache>
            </c:numRef>
          </c:val>
          <c:smooth val="0"/>
          <c:extLst xmlns:c16r2="http://schemas.microsoft.com/office/drawing/2015/06/chart">
            <c:ext xmlns:c16="http://schemas.microsoft.com/office/drawing/2014/chart" uri="{C3380CC4-5D6E-409C-BE32-E72D297353CC}">
              <c16:uniqueId val="{00000002-2EA4-4363-A83B-44DB0F8B857B}"/>
            </c:ext>
          </c:extLst>
        </c:ser>
        <c:dLbls>
          <c:showLegendKey val="0"/>
          <c:showVal val="0"/>
          <c:showCatName val="0"/>
          <c:showSerName val="0"/>
          <c:showPercent val="0"/>
          <c:showBubbleSize val="0"/>
        </c:dLbls>
        <c:marker val="1"/>
        <c:smooth val="0"/>
        <c:axId val="244609408"/>
        <c:axId val="244610944"/>
      </c:lineChart>
      <c:catAx>
        <c:axId val="2446094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宋体" panose="02010600030101010101" charset="-122"/>
                <a:ea typeface="宋体" panose="02010600030101010101" charset="-122"/>
                <a:cs typeface="Arial" panose="020B0604020202020204" pitchFamily="2"/>
              </a:defRPr>
            </a:pPr>
            <a:endParaRPr lang="zh-CN"/>
          </a:p>
        </c:txPr>
        <c:crossAx val="244610944"/>
        <c:crosses val="autoZero"/>
        <c:auto val="1"/>
        <c:lblAlgn val="ctr"/>
        <c:lblOffset val="100"/>
        <c:noMultiLvlLbl val="0"/>
      </c:catAx>
      <c:valAx>
        <c:axId val="244610944"/>
        <c:scaling>
          <c:orientation val="minMax"/>
        </c:scaling>
        <c:delete val="0"/>
        <c:axPos val="r"/>
        <c:majorGridlines>
          <c:spPr>
            <a:ln w="3175" cap="flat" cmpd="sng" algn="ctr">
              <a:solidFill>
                <a:srgbClr val="000000"/>
              </a:solidFill>
              <a:prstDash val="sysDash"/>
              <a:round/>
            </a:ln>
            <a:effectLst/>
          </c:spPr>
        </c:majorGridlines>
        <c:numFmt formatCode="0%" sourceLinked="0"/>
        <c:majorTickMark val="in"/>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4609408"/>
        <c:crosses val="max"/>
        <c:crossBetween val="between"/>
      </c:valAx>
      <c:catAx>
        <c:axId val="244612480"/>
        <c:scaling>
          <c:orientation val="minMax"/>
        </c:scaling>
        <c:delete val="1"/>
        <c:axPos val="b"/>
        <c:numFmt formatCode="General" sourceLinked="1"/>
        <c:majorTickMark val="out"/>
        <c:minorTickMark val="none"/>
        <c:tickLblPos val="nextTo"/>
        <c:crossAx val="244614272"/>
        <c:crosses val="autoZero"/>
        <c:auto val="1"/>
        <c:lblAlgn val="ctr"/>
        <c:lblOffset val="100"/>
        <c:noMultiLvlLbl val="0"/>
      </c:catAx>
      <c:valAx>
        <c:axId val="244614272"/>
        <c:scaling>
          <c:orientation val="minMax"/>
        </c:scaling>
        <c:delete val="0"/>
        <c:axPos val="l"/>
        <c:numFmt formatCode="General" sourceLinked="1"/>
        <c:majorTickMark val="in"/>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4612480"/>
        <c:crosses val="autoZero"/>
        <c:crossBetween val="between"/>
      </c:valAx>
      <c:spPr>
        <a:noFill/>
        <a:ln w="25400">
          <a:noFill/>
        </a:ln>
        <a:effectLst/>
      </c:spPr>
    </c:plotArea>
    <c:legend>
      <c:legendPos val="t"/>
      <c:legendEntry>
        <c:idx val="0"/>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34" charset="0"/>
                <a:ea typeface="宋体" panose="02010600030101010101" charset="-122"/>
                <a:cs typeface="Arial" panose="020B0604020202020204" pitchFamily="34" charset="0"/>
              </a:defRPr>
            </a:pPr>
            <a:endParaRPr lang="zh-CN"/>
          </a:p>
        </c:txPr>
      </c:legendEntry>
      <c:legendEntry>
        <c:idx val="1"/>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34" charset="0"/>
                <a:ea typeface="宋体" panose="02010600030101010101" charset="-122"/>
                <a:cs typeface="Arial" panose="020B0604020202020204" pitchFamily="34" charset="0"/>
              </a:defRPr>
            </a:pPr>
            <a:endParaRPr lang="zh-CN"/>
          </a:p>
        </c:txPr>
      </c:legendEntry>
      <c:layout>
        <c:manualLayout>
          <c:xMode val="edge"/>
          <c:yMode val="edge"/>
          <c:x val="2.4092623248642399E-2"/>
          <c:y val="5.3310810108423201E-2"/>
          <c:w val="0.503027357216416"/>
          <c:h val="0.123614035087719"/>
        </c:manualLayout>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34" charset="0"/>
              <a:ea typeface="宋体" panose="02010600030101010101" charset="-122"/>
              <a:cs typeface="Arial" panose="020B0604020202020204" pitchFamily="34" charset="0"/>
            </a:defRPr>
          </a:pPr>
          <a:endParaRPr lang="zh-CN"/>
        </a:p>
      </c:txPr>
    </c:legend>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altLang="en-US" sz="1000" b="1" i="0" u="none" strike="noStrike" kern="1200" spc="0" baseline="0">
                <a:solidFill>
                  <a:sysClr val="windowText" lastClr="000000"/>
                </a:solidFill>
                <a:latin typeface="宋体" panose="02010600030101010101" charset="-122"/>
                <a:ea typeface="宋体" panose="02010600030101010101" charset="-122"/>
                <a:cs typeface="宋体" panose="02010600030101010101" charset="-122"/>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13</a:t>
            </a:r>
            <a:r>
              <a:rPr lang="zh-CN" altLang="en-US" sz="1000" b="1">
                <a:solidFill>
                  <a:sysClr val="windowText" lastClr="000000"/>
                </a:solidFill>
                <a:latin typeface="宋体" panose="02010600030101010101" charset="-122"/>
                <a:ea typeface="宋体" panose="02010600030101010101" charset="-122"/>
              </a:rPr>
              <a:t>  单个商标品牌价值变化分布</a:t>
            </a:r>
            <a:endParaRPr lang="zh-CN" sz="1000" b="1">
              <a:solidFill>
                <a:sysClr val="windowText" lastClr="000000"/>
              </a:solidFill>
              <a:latin typeface="宋体" panose="02010600030101010101" charset="-122"/>
              <a:ea typeface="宋体" panose="02010600030101010101" charset="-122"/>
            </a:endParaRPr>
          </a:p>
        </c:rich>
      </c:tx>
      <c:layout>
        <c:manualLayout>
          <c:xMode val="edge"/>
          <c:yMode val="edge"/>
          <c:x val="0.186377483582993"/>
          <c:y val="0.86429512516468998"/>
        </c:manualLayout>
      </c:layout>
      <c:overlay val="0"/>
      <c:spPr>
        <a:noFill/>
        <a:ln w="25400">
          <a:noFill/>
        </a:ln>
        <a:effectLst/>
      </c:spPr>
    </c:title>
    <c:autoTitleDeleted val="0"/>
    <c:plotArea>
      <c:layout>
        <c:manualLayout>
          <c:layoutTarget val="inner"/>
          <c:xMode val="edge"/>
          <c:yMode val="edge"/>
          <c:x val="0.263377494907856"/>
          <c:y val="0.183503366427023"/>
          <c:w val="0.48535810474671098"/>
          <c:h val="0.644429765920567"/>
        </c:manualLayout>
      </c:layout>
      <c:pieChart>
        <c:varyColors val="1"/>
        <c:ser>
          <c:idx val="0"/>
          <c:order val="0"/>
          <c:dPt>
            <c:idx val="0"/>
            <c:bubble3D val="0"/>
            <c:spPr>
              <a:solidFill>
                <a:srgbClr val="FF8080"/>
              </a:solidFill>
              <a:ln w="25400">
                <a:noFill/>
              </a:ln>
              <a:effectLst/>
            </c:spPr>
            <c:extLst xmlns:c16r2="http://schemas.microsoft.com/office/drawing/2015/06/chart">
              <c:ext xmlns:c16="http://schemas.microsoft.com/office/drawing/2014/chart" uri="{C3380CC4-5D6E-409C-BE32-E72D297353CC}">
                <c16:uniqueId val="{00000001-5D2B-4D42-8E3D-5B36F48DD3FD}"/>
              </c:ext>
            </c:extLst>
          </c:dPt>
          <c:dPt>
            <c:idx val="1"/>
            <c:bubble3D val="0"/>
            <c:spPr>
              <a:solidFill>
                <a:srgbClr val="81A6BE"/>
              </a:solidFill>
              <a:ln w="25400">
                <a:noFill/>
              </a:ln>
              <a:effectLst/>
            </c:spPr>
            <c:extLst xmlns:c16r2="http://schemas.microsoft.com/office/drawing/2015/06/chart">
              <c:ext xmlns:c16="http://schemas.microsoft.com/office/drawing/2014/chart" uri="{C3380CC4-5D6E-409C-BE32-E72D297353CC}">
                <c16:uniqueId val="{00000003-5D2B-4D42-8E3D-5B36F48DD3FD}"/>
              </c:ext>
            </c:extLst>
          </c:dPt>
          <c:dPt>
            <c:idx val="2"/>
            <c:bubble3D val="0"/>
            <c:spPr>
              <a:solidFill>
                <a:srgbClr val="FFB2B2"/>
              </a:solidFill>
              <a:ln w="25400">
                <a:noFill/>
              </a:ln>
              <a:effectLst/>
            </c:spPr>
            <c:extLst xmlns:c16r2="http://schemas.microsoft.com/office/drawing/2015/06/chart">
              <c:ext xmlns:c16="http://schemas.microsoft.com/office/drawing/2014/chart" uri="{C3380CC4-5D6E-409C-BE32-E72D297353CC}">
                <c16:uniqueId val="{00000005-5D2B-4D42-8E3D-5B36F48DD3FD}"/>
              </c:ext>
            </c:extLst>
          </c:dPt>
          <c:dPt>
            <c:idx val="3"/>
            <c:bubble3D val="0"/>
            <c:spPr>
              <a:solidFill>
                <a:srgbClr val="B4CAD8"/>
              </a:solidFill>
              <a:ln w="25400">
                <a:noFill/>
              </a:ln>
              <a:effectLst/>
            </c:spPr>
            <c:extLst xmlns:c16r2="http://schemas.microsoft.com/office/drawing/2015/06/chart">
              <c:ext xmlns:c16="http://schemas.microsoft.com/office/drawing/2014/chart" uri="{C3380CC4-5D6E-409C-BE32-E72D297353CC}">
                <c16:uniqueId val="{00000007-5D2B-4D42-8E3D-5B36F48DD3FD}"/>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宋体" panose="02010600030101010101" charset="-122"/>
                    <a:ea typeface="宋体" panose="02010600030101010101" charset="-122"/>
                    <a:cs typeface="宋体" panose="02010600030101010101" charset="-122"/>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图表!$B$253:$B$256</c:f>
              <c:strCache>
                <c:ptCount val="4"/>
                <c:pt idx="0">
                  <c:v>增速超20%</c:v>
                </c:pt>
                <c:pt idx="1">
                  <c:v>同比稳定</c:v>
                </c:pt>
                <c:pt idx="2">
                  <c:v>下降超20%</c:v>
                </c:pt>
                <c:pt idx="3">
                  <c:v>新上榜</c:v>
                </c:pt>
              </c:strCache>
            </c:strRef>
          </c:cat>
          <c:val>
            <c:numRef>
              <c:f>图表!$C$253:$C$256</c:f>
              <c:numCache>
                <c:formatCode>General</c:formatCode>
                <c:ptCount val="4"/>
                <c:pt idx="0">
                  <c:v>26</c:v>
                </c:pt>
                <c:pt idx="1">
                  <c:v>53</c:v>
                </c:pt>
                <c:pt idx="2">
                  <c:v>3</c:v>
                </c:pt>
                <c:pt idx="3">
                  <c:v>18</c:v>
                </c:pt>
              </c:numCache>
            </c:numRef>
          </c:val>
          <c:extLst xmlns:c16r2="http://schemas.microsoft.com/office/drawing/2015/06/chart">
            <c:ext xmlns:c16="http://schemas.microsoft.com/office/drawing/2014/chart" uri="{C3380CC4-5D6E-409C-BE32-E72D297353CC}">
              <c16:uniqueId val="{00000008-5D2B-4D42-8E3D-5B36F48DD3FD}"/>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t"/>
      <c:layout>
        <c:manualLayout>
          <c:xMode val="edge"/>
          <c:yMode val="edge"/>
          <c:x val="7.3289338935365794E-2"/>
          <c:y val="6.8511198945981594E-2"/>
          <c:w val="0.86985822888843201"/>
          <c:h val="7.8577075098814203E-2"/>
        </c:manualLayout>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altLang="en-US" sz="1000" b="1" i="0" u="none" strike="noStrike" kern="1200" spc="0" baseline="0">
                <a:solidFill>
                  <a:sysClr val="windowText" lastClr="000000"/>
                </a:solidFill>
                <a:latin typeface="宋体" panose="02010600030101010101" charset="-122"/>
                <a:ea typeface="宋体" panose="02010600030101010101" charset="-122"/>
                <a:cs typeface="宋体" panose="02010600030101010101" charset="-122"/>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14</a:t>
            </a:r>
            <a:r>
              <a:rPr lang="zh-CN" altLang="en-US" sz="1000" b="1">
                <a:solidFill>
                  <a:sysClr val="windowText" lastClr="000000"/>
                </a:solidFill>
                <a:latin typeface="宋体" panose="02010600030101010101" charset="-122"/>
                <a:ea typeface="宋体" panose="02010600030101010101" charset="-122"/>
              </a:rPr>
              <a:t>  新上榜商标品牌行业分布</a:t>
            </a:r>
            <a:endParaRPr lang="zh-CN" sz="1000" b="1">
              <a:solidFill>
                <a:sysClr val="windowText" lastClr="000000"/>
              </a:solidFill>
              <a:latin typeface="宋体" panose="02010600030101010101" charset="-122"/>
              <a:ea typeface="宋体" panose="02010600030101010101" charset="-122"/>
            </a:endParaRPr>
          </a:p>
        </c:rich>
      </c:tx>
      <c:layout>
        <c:manualLayout>
          <c:xMode val="edge"/>
          <c:yMode val="edge"/>
          <c:x val="0.231657532934056"/>
          <c:y val="0.84051724137931005"/>
        </c:manualLayout>
      </c:layout>
      <c:overlay val="0"/>
      <c:spPr>
        <a:noFill/>
        <a:ln w="25400">
          <a:noFill/>
        </a:ln>
        <a:effectLst/>
      </c:spPr>
    </c:title>
    <c:autoTitleDeleted val="0"/>
    <c:plotArea>
      <c:layout>
        <c:manualLayout>
          <c:layoutTarget val="inner"/>
          <c:xMode val="edge"/>
          <c:yMode val="edge"/>
          <c:x val="0.26231765912564298"/>
          <c:y val="7.6643106842248204E-2"/>
          <c:w val="0.48334362154461402"/>
          <c:h val="0.65274826907412398"/>
        </c:manualLayout>
      </c:layout>
      <c:pieChart>
        <c:varyColors val="1"/>
        <c:ser>
          <c:idx val="0"/>
          <c:order val="0"/>
          <c:dPt>
            <c:idx val="0"/>
            <c:bubble3D val="0"/>
            <c:spPr>
              <a:solidFill>
                <a:srgbClr val="FF8080"/>
              </a:solidFill>
              <a:ln w="25400">
                <a:noFill/>
              </a:ln>
              <a:effectLst/>
            </c:spPr>
            <c:extLst xmlns:c16r2="http://schemas.microsoft.com/office/drawing/2015/06/chart">
              <c:ext xmlns:c16="http://schemas.microsoft.com/office/drawing/2014/chart" uri="{C3380CC4-5D6E-409C-BE32-E72D297353CC}">
                <c16:uniqueId val="{00000001-B97B-407D-8758-8ECF09E7D9E8}"/>
              </c:ext>
            </c:extLst>
          </c:dPt>
          <c:dPt>
            <c:idx val="1"/>
            <c:bubble3D val="0"/>
            <c:spPr>
              <a:solidFill>
                <a:srgbClr val="81A6BE"/>
              </a:solidFill>
              <a:ln w="25400">
                <a:noFill/>
              </a:ln>
              <a:effectLst/>
            </c:spPr>
            <c:extLst xmlns:c16r2="http://schemas.microsoft.com/office/drawing/2015/06/chart">
              <c:ext xmlns:c16="http://schemas.microsoft.com/office/drawing/2014/chart" uri="{C3380CC4-5D6E-409C-BE32-E72D297353CC}">
                <c16:uniqueId val="{00000003-B97B-407D-8758-8ECF09E7D9E8}"/>
              </c:ext>
            </c:extLst>
          </c:dPt>
          <c:dPt>
            <c:idx val="2"/>
            <c:bubble3D val="0"/>
            <c:spPr>
              <a:solidFill>
                <a:srgbClr val="FFB2B2"/>
              </a:solidFill>
              <a:ln w="25400">
                <a:noFill/>
              </a:ln>
              <a:effectLst/>
            </c:spPr>
            <c:extLst xmlns:c16r2="http://schemas.microsoft.com/office/drawing/2015/06/chart">
              <c:ext xmlns:c16="http://schemas.microsoft.com/office/drawing/2014/chart" uri="{C3380CC4-5D6E-409C-BE32-E72D297353CC}">
                <c16:uniqueId val="{00000005-B97B-407D-8758-8ECF09E7D9E8}"/>
              </c:ext>
            </c:extLst>
          </c:dPt>
          <c:dPt>
            <c:idx val="3"/>
            <c:bubble3D val="0"/>
            <c:spPr>
              <a:solidFill>
                <a:srgbClr val="B4CAD8"/>
              </a:solidFill>
              <a:ln w="25400">
                <a:noFill/>
              </a:ln>
              <a:effectLst/>
            </c:spPr>
            <c:extLst xmlns:c16r2="http://schemas.microsoft.com/office/drawing/2015/06/chart">
              <c:ext xmlns:c16="http://schemas.microsoft.com/office/drawing/2014/chart" uri="{C3380CC4-5D6E-409C-BE32-E72D297353CC}">
                <c16:uniqueId val="{00000007-B97B-407D-8758-8ECF09E7D9E8}"/>
              </c:ext>
            </c:extLst>
          </c:dPt>
          <c:dPt>
            <c:idx val="4"/>
            <c:bubble3D val="0"/>
            <c:spPr>
              <a:solidFill>
                <a:srgbClr val="FF3333"/>
              </a:solidFill>
              <a:ln w="25400">
                <a:noFill/>
              </a:ln>
              <a:effectLst/>
            </c:spPr>
            <c:extLst xmlns:c16r2="http://schemas.microsoft.com/office/drawing/2015/06/chart">
              <c:ext xmlns:c16="http://schemas.microsoft.com/office/drawing/2014/chart" uri="{C3380CC4-5D6E-409C-BE32-E72D297353CC}">
                <c16:uniqueId val="{00000009-B97B-407D-8758-8ECF09E7D9E8}"/>
              </c:ext>
            </c:extLst>
          </c:dPt>
          <c:dLbls>
            <c:dLbl>
              <c:idx val="1"/>
              <c:layout>
                <c:manualLayout>
                  <c:x val="-0.12428075738810899"/>
                  <c:y val="-0.14129709510794999"/>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91199225060157"/>
                      <c:h val="0.234558972307637"/>
                    </c:manualLayout>
                  </c15:layout>
                </c:ext>
                <c:ext xmlns:c16="http://schemas.microsoft.com/office/drawing/2014/chart" uri="{C3380CC4-5D6E-409C-BE32-E72D297353CC}">
                  <c16:uniqueId val="{00000003-B97B-407D-8758-8ECF09E7D9E8}"/>
                </c:ext>
              </c:extLst>
            </c:dLbl>
            <c:dLbl>
              <c:idx val="3"/>
              <c:layout>
                <c:manualLayout>
                  <c:x val="8.46082787773213E-2"/>
                  <c:y val="-7.8447059242728406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31912243842208998"/>
                      <c:h val="0.26249185025941302"/>
                    </c:manualLayout>
                  </c15:layout>
                </c:ext>
                <c:ext xmlns:c16="http://schemas.microsoft.com/office/drawing/2014/chart" uri="{C3380CC4-5D6E-409C-BE32-E72D297353CC}">
                  <c16:uniqueId val="{00000007-B97B-407D-8758-8ECF09E7D9E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图表!$B$267:$B$271</c:f>
              <c:strCache>
                <c:ptCount val="5"/>
                <c:pt idx="0">
                  <c:v>金融业</c:v>
                </c:pt>
                <c:pt idx="1">
                  <c:v>交通运输、仓储和邮政业</c:v>
                </c:pt>
                <c:pt idx="2">
                  <c:v>制造业</c:v>
                </c:pt>
                <c:pt idx="3">
                  <c:v>信息传输、软件和信息技术服务业</c:v>
                </c:pt>
                <c:pt idx="4">
                  <c:v>其他</c:v>
                </c:pt>
              </c:strCache>
            </c:strRef>
          </c:cat>
          <c:val>
            <c:numRef>
              <c:f>图表!$C$267:$C$271</c:f>
              <c:numCache>
                <c:formatCode>General</c:formatCode>
                <c:ptCount val="5"/>
                <c:pt idx="0">
                  <c:v>5</c:v>
                </c:pt>
                <c:pt idx="1">
                  <c:v>3</c:v>
                </c:pt>
                <c:pt idx="2">
                  <c:v>3</c:v>
                </c:pt>
                <c:pt idx="3">
                  <c:v>2</c:v>
                </c:pt>
                <c:pt idx="4">
                  <c:v>5</c:v>
                </c:pt>
              </c:numCache>
            </c:numRef>
          </c:val>
          <c:extLst xmlns:c16r2="http://schemas.microsoft.com/office/drawing/2015/06/chart">
            <c:ext xmlns:c16="http://schemas.microsoft.com/office/drawing/2014/chart" uri="{C3380CC4-5D6E-409C-BE32-E72D297353CC}">
              <c16:uniqueId val="{0000000A-B97B-407D-8758-8ECF09E7D9E8}"/>
            </c:ext>
          </c:extLst>
        </c:ser>
        <c:dLbls>
          <c:showLegendKey val="0"/>
          <c:showVal val="0"/>
          <c:showCatName val="1"/>
          <c:showSerName val="0"/>
          <c:showPercent val="1"/>
          <c:showBubbleSize val="0"/>
          <c:showLeaderLines val="1"/>
        </c:dLbls>
        <c:firstSliceAng val="0"/>
      </c:pieChart>
      <c:spPr>
        <a:noFill/>
        <a:ln w="25400">
          <a:noFill/>
        </a:ln>
        <a:effectLst/>
      </c:spPr>
    </c:plotArea>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5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a:t>图</a:t>
            </a:r>
            <a:r>
              <a:rPr lang="en-US" altLang="zh-CN"/>
              <a:t>2</a:t>
            </a:r>
            <a:r>
              <a:rPr lang="zh-CN" altLang="en-US"/>
              <a:t>  行业商标品牌价值平均值</a:t>
            </a:r>
            <a:r>
              <a:rPr lang="en-US" altLang="zh-CN"/>
              <a:t>(</a:t>
            </a:r>
            <a:r>
              <a:rPr lang="zh-CN" altLang="en-US"/>
              <a:t>亿元</a:t>
            </a:r>
            <a:r>
              <a:rPr lang="en-US" altLang="zh-CN"/>
              <a:t>)</a:t>
            </a:r>
          </a:p>
        </c:rich>
      </c:tx>
      <c:layout>
        <c:manualLayout>
          <c:xMode val="edge"/>
          <c:yMode val="edge"/>
          <c:x val="0.247471707199615"/>
          <c:y val="0.90967397113842896"/>
        </c:manualLayout>
      </c:layout>
      <c:overlay val="0"/>
      <c:spPr>
        <a:noFill/>
        <a:ln>
          <a:noFill/>
        </a:ln>
        <a:effectLst/>
      </c:spPr>
    </c:title>
    <c:autoTitleDeleted val="0"/>
    <c:plotArea>
      <c:layout>
        <c:manualLayout>
          <c:layoutTarget val="inner"/>
          <c:xMode val="edge"/>
          <c:yMode val="edge"/>
          <c:x val="0.291301277226372"/>
          <c:y val="2.2695761203344E-2"/>
          <c:w val="0.68616630006514601"/>
          <c:h val="0.76148382190729202"/>
        </c:manualLayout>
      </c:layout>
      <c:barChart>
        <c:barDir val="bar"/>
        <c:grouping val="clustered"/>
        <c:varyColors val="0"/>
        <c:ser>
          <c:idx val="0"/>
          <c:order val="0"/>
          <c:tx>
            <c:strRef>
              <c:f>图表!$B$26</c:f>
              <c:strCache>
                <c:ptCount val="1"/>
                <c:pt idx="0">
                  <c:v>图2：行业商标品牌价值平均值(亿元)</c:v>
                </c:pt>
              </c:strCache>
            </c:strRef>
          </c:tx>
          <c:spPr>
            <a:solidFill>
              <a:schemeClr val="accent1"/>
            </a:solidFill>
            <a:ln>
              <a:noFill/>
            </a:ln>
            <a:effectLst/>
          </c:spPr>
          <c:invertIfNegative val="0"/>
          <c:dLbls>
            <c:dLbl>
              <c:idx val="0"/>
              <c:layout>
                <c:manualLayout>
                  <c:x val="-1.76577139875259E-16"/>
                  <c:y val="-2.672367717797970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3F-4CF9-AA49-B70F276C26B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3F-4CF9-AA49-B70F276C26B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3F-4CF9-AA49-B70F276C26B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3F-4CF9-AA49-B70F276C26B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3F-4CF9-AA49-B70F276C26B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3F-4CF9-AA49-B70F276C26B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83F-4CF9-AA49-B70F276C26B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3F-4CF9-AA49-B70F276C26B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83F-4CF9-AA49-B70F276C26B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3F-4CF9-AA49-B70F276C26B9}"/>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83F-4CF9-AA49-B70F276C26B9}"/>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3F-4CF9-AA49-B70F276C26B9}"/>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3F-4CF9-AA49-B70F276C26B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83F-4CF9-AA49-B70F276C26B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图表!$A$27:$A$40</c:f>
              <c:strCache>
                <c:ptCount val="14"/>
                <c:pt idx="0">
                  <c:v>采矿业</c:v>
                </c:pt>
                <c:pt idx="1">
                  <c:v>金融业</c:v>
                </c:pt>
                <c:pt idx="2">
                  <c:v>建筑业</c:v>
                </c:pt>
                <c:pt idx="3">
                  <c:v>电力、热力、燃气及水生产和供应业</c:v>
                </c:pt>
                <c:pt idx="4">
                  <c:v>制造业</c:v>
                </c:pt>
                <c:pt idx="5">
                  <c:v>农、林、牧、渔业</c:v>
                </c:pt>
                <c:pt idx="6">
                  <c:v>租赁和商务服务业</c:v>
                </c:pt>
                <c:pt idx="7">
                  <c:v>水利、环境和公共设施管理业</c:v>
                </c:pt>
                <c:pt idx="8">
                  <c:v>交通运输、仓储和邮政业</c:v>
                </c:pt>
                <c:pt idx="9">
                  <c:v>信息传输、软件和信息技术服务业</c:v>
                </c:pt>
                <c:pt idx="10">
                  <c:v>房地产业</c:v>
                </c:pt>
                <c:pt idx="11">
                  <c:v>文化、体育和娱乐业</c:v>
                </c:pt>
                <c:pt idx="12">
                  <c:v>批发和零售业</c:v>
                </c:pt>
                <c:pt idx="13">
                  <c:v>住宿和餐饮业</c:v>
                </c:pt>
              </c:strCache>
            </c:strRef>
          </c:cat>
          <c:val>
            <c:numRef>
              <c:f>图表!$B$27:$B$40</c:f>
              <c:numCache>
                <c:formatCode>0.00</c:formatCode>
                <c:ptCount val="14"/>
                <c:pt idx="0">
                  <c:v>849.98314477317399</c:v>
                </c:pt>
                <c:pt idx="1">
                  <c:v>583.35565029926204</c:v>
                </c:pt>
                <c:pt idx="2">
                  <c:v>414.75164859210599</c:v>
                </c:pt>
                <c:pt idx="3">
                  <c:v>368.166331672252</c:v>
                </c:pt>
                <c:pt idx="4">
                  <c:v>322.75165205022802</c:v>
                </c:pt>
                <c:pt idx="5">
                  <c:v>300.93056349476001</c:v>
                </c:pt>
                <c:pt idx="6">
                  <c:v>291.811956733187</c:v>
                </c:pt>
                <c:pt idx="7">
                  <c:v>275.32310026673599</c:v>
                </c:pt>
                <c:pt idx="8">
                  <c:v>232.07352344219299</c:v>
                </c:pt>
                <c:pt idx="9">
                  <c:v>211.81547416560801</c:v>
                </c:pt>
                <c:pt idx="10">
                  <c:v>184.21851956606099</c:v>
                </c:pt>
                <c:pt idx="11">
                  <c:v>183.48241570734501</c:v>
                </c:pt>
                <c:pt idx="12">
                  <c:v>167.10878101538501</c:v>
                </c:pt>
                <c:pt idx="13">
                  <c:v>123.023442161202</c:v>
                </c:pt>
              </c:numCache>
            </c:numRef>
          </c:val>
          <c:extLst xmlns:c16r2="http://schemas.microsoft.com/office/drawing/2015/06/chart">
            <c:ext xmlns:c16="http://schemas.microsoft.com/office/drawing/2014/chart" uri="{C3380CC4-5D6E-409C-BE32-E72D297353CC}">
              <c16:uniqueId val="{0000000E-183F-4CF9-AA49-B70F276C26B9}"/>
            </c:ext>
          </c:extLst>
        </c:ser>
        <c:dLbls>
          <c:showLegendKey val="0"/>
          <c:showVal val="0"/>
          <c:showCatName val="0"/>
          <c:showSerName val="0"/>
          <c:showPercent val="0"/>
          <c:showBubbleSize val="0"/>
        </c:dLbls>
        <c:gapWidth val="182"/>
        <c:axId val="244790016"/>
        <c:axId val="244791552"/>
      </c:barChart>
      <c:catAx>
        <c:axId val="24479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244791552"/>
        <c:crosses val="autoZero"/>
        <c:auto val="1"/>
        <c:lblAlgn val="ctr"/>
        <c:lblOffset val="100"/>
        <c:noMultiLvlLbl val="0"/>
      </c:catAx>
      <c:valAx>
        <c:axId val="24479155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_);[Red]\(#,##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47900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5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sz="1050" b="1">
                <a:solidFill>
                  <a:sysClr val="windowText" lastClr="000000"/>
                </a:solidFill>
                <a:latin typeface="宋体" panose="02010600030101010101" charset="-122"/>
                <a:ea typeface="宋体" panose="02010600030101010101" charset="-122"/>
              </a:rPr>
              <a:t>图</a:t>
            </a:r>
            <a:r>
              <a:rPr lang="en-US" altLang="zh-CN" sz="1050" b="1">
                <a:solidFill>
                  <a:sysClr val="windowText" lastClr="000000"/>
                </a:solidFill>
                <a:latin typeface="宋体" panose="02010600030101010101" charset="-122"/>
                <a:ea typeface="宋体" panose="02010600030101010101" charset="-122"/>
              </a:rPr>
              <a:t>3</a:t>
            </a:r>
            <a:r>
              <a:rPr lang="zh-CN" altLang="en-US" sz="1050" b="1">
                <a:solidFill>
                  <a:sysClr val="windowText" lastClr="000000"/>
                </a:solidFill>
                <a:latin typeface="宋体" panose="02010600030101010101" charset="-122"/>
                <a:ea typeface="宋体" panose="02010600030101010101" charset="-122"/>
              </a:rPr>
              <a:t>  各行业商标品牌价值占行业市值的比重</a:t>
            </a:r>
          </a:p>
        </c:rich>
      </c:tx>
      <c:layout>
        <c:manualLayout>
          <c:xMode val="edge"/>
          <c:yMode val="edge"/>
          <c:x val="0.25062499999999999"/>
          <c:y val="0.85740740740740695"/>
        </c:manualLayout>
      </c:layout>
      <c:overlay val="0"/>
      <c:spPr>
        <a:noFill/>
        <a:ln>
          <a:noFill/>
        </a:ln>
        <a:effectLst/>
      </c:spPr>
    </c:title>
    <c:autoTitleDeleted val="0"/>
    <c:plotArea>
      <c:layout>
        <c:manualLayout>
          <c:layoutTarget val="inner"/>
          <c:xMode val="edge"/>
          <c:yMode val="edge"/>
          <c:x val="0.12313888888888901"/>
          <c:y val="6.2731481481481499E-2"/>
          <c:w val="0.86866666666666703"/>
          <c:h val="0.37472222222222201"/>
        </c:manualLayout>
      </c:layout>
      <c:barChart>
        <c:barDir val="col"/>
        <c:grouping val="percentStacked"/>
        <c:varyColors val="0"/>
        <c:ser>
          <c:idx val="0"/>
          <c:order val="0"/>
          <c:tx>
            <c:strRef>
              <c:f>图表!$E$286</c:f>
              <c:strCache>
                <c:ptCount val="1"/>
                <c:pt idx="0">
                  <c:v>行业品牌价值占比</c:v>
                </c:pt>
              </c:strCache>
            </c:strRef>
          </c:tx>
          <c:spPr>
            <a:solidFill>
              <a:srgbClr val="FF8080"/>
            </a:solidFill>
            <a:ln w="25400">
              <a:noFill/>
            </a:ln>
            <a:effectLst/>
          </c:spPr>
          <c:invertIfNegative val="0"/>
          <c:cat>
            <c:strRef>
              <c:f>图表!$B$287:$B$300</c:f>
              <c:strCache>
                <c:ptCount val="14"/>
                <c:pt idx="0">
                  <c:v>文体、娱乐</c:v>
                </c:pt>
                <c:pt idx="1">
                  <c:v>水利、环境和公共设施</c:v>
                </c:pt>
                <c:pt idx="2">
                  <c:v>住宿和餐饮业</c:v>
                </c:pt>
                <c:pt idx="3">
                  <c:v>批发和零售业</c:v>
                </c:pt>
                <c:pt idx="4">
                  <c:v>电、热、气及水业</c:v>
                </c:pt>
                <c:pt idx="5">
                  <c:v>信息传输、软件等</c:v>
                </c:pt>
                <c:pt idx="6">
                  <c:v>租赁和商务服务业</c:v>
                </c:pt>
                <c:pt idx="7">
                  <c:v>农、林、牧、渔业</c:v>
                </c:pt>
                <c:pt idx="8">
                  <c:v>建筑业</c:v>
                </c:pt>
                <c:pt idx="9">
                  <c:v>交运、仓储和邮政业</c:v>
                </c:pt>
                <c:pt idx="10">
                  <c:v>制造业</c:v>
                </c:pt>
                <c:pt idx="11">
                  <c:v>金融业</c:v>
                </c:pt>
                <c:pt idx="12">
                  <c:v>房地产业</c:v>
                </c:pt>
                <c:pt idx="13">
                  <c:v>采矿业</c:v>
                </c:pt>
              </c:strCache>
            </c:strRef>
          </c:cat>
          <c:val>
            <c:numRef>
              <c:f>图表!$E$287:$E$300</c:f>
              <c:numCache>
                <c:formatCode>0.00%</c:formatCode>
                <c:ptCount val="14"/>
                <c:pt idx="0">
                  <c:v>0.63428879923805703</c:v>
                </c:pt>
                <c:pt idx="1">
                  <c:v>0.60385081911647498</c:v>
                </c:pt>
                <c:pt idx="2">
                  <c:v>0.37322137409799799</c:v>
                </c:pt>
                <c:pt idx="3">
                  <c:v>0.351092746500893</c:v>
                </c:pt>
                <c:pt idx="4">
                  <c:v>0.34267781043339901</c:v>
                </c:pt>
                <c:pt idx="5">
                  <c:v>0.33547624566884399</c:v>
                </c:pt>
                <c:pt idx="6">
                  <c:v>0.29142807931529902</c:v>
                </c:pt>
                <c:pt idx="7">
                  <c:v>0.248274787561923</c:v>
                </c:pt>
                <c:pt idx="8">
                  <c:v>0.24395506392697799</c:v>
                </c:pt>
                <c:pt idx="9">
                  <c:v>0.22643550806049301</c:v>
                </c:pt>
                <c:pt idx="10">
                  <c:v>0.19789017932552599</c:v>
                </c:pt>
                <c:pt idx="11">
                  <c:v>0.121145316850409</c:v>
                </c:pt>
                <c:pt idx="12">
                  <c:v>0.11427877099143401</c:v>
                </c:pt>
                <c:pt idx="13">
                  <c:v>0.10168828612214</c:v>
                </c:pt>
              </c:numCache>
            </c:numRef>
          </c:val>
          <c:extLst xmlns:c16r2="http://schemas.microsoft.com/office/drawing/2015/06/chart">
            <c:ext xmlns:c16="http://schemas.microsoft.com/office/drawing/2014/chart" uri="{C3380CC4-5D6E-409C-BE32-E72D297353CC}">
              <c16:uniqueId val="{00000000-DCCA-46D7-839A-C779BFD791EA}"/>
            </c:ext>
          </c:extLst>
        </c:ser>
        <c:ser>
          <c:idx val="1"/>
          <c:order val="1"/>
          <c:tx>
            <c:strRef>
              <c:f>图表!$F$286</c:f>
              <c:strCache>
                <c:ptCount val="1"/>
                <c:pt idx="0">
                  <c:v>100%行业市值</c:v>
                </c:pt>
              </c:strCache>
            </c:strRef>
          </c:tx>
          <c:spPr>
            <a:solidFill>
              <a:srgbClr val="81A6BE"/>
            </a:solidFill>
            <a:ln w="25400">
              <a:noFill/>
            </a:ln>
            <a:effectLst/>
          </c:spPr>
          <c:invertIfNegative val="0"/>
          <c:cat>
            <c:strRef>
              <c:f>图表!$B$287:$B$300</c:f>
              <c:strCache>
                <c:ptCount val="14"/>
                <c:pt idx="0">
                  <c:v>文体、娱乐</c:v>
                </c:pt>
                <c:pt idx="1">
                  <c:v>水利、环境和公共设施</c:v>
                </c:pt>
                <c:pt idx="2">
                  <c:v>住宿和餐饮业</c:v>
                </c:pt>
                <c:pt idx="3">
                  <c:v>批发和零售业</c:v>
                </c:pt>
                <c:pt idx="4">
                  <c:v>电、热、气及水业</c:v>
                </c:pt>
                <c:pt idx="5">
                  <c:v>信息传输、软件等</c:v>
                </c:pt>
                <c:pt idx="6">
                  <c:v>租赁和商务服务业</c:v>
                </c:pt>
                <c:pt idx="7">
                  <c:v>农、林、牧、渔业</c:v>
                </c:pt>
                <c:pt idx="8">
                  <c:v>建筑业</c:v>
                </c:pt>
                <c:pt idx="9">
                  <c:v>交运、仓储和邮政业</c:v>
                </c:pt>
                <c:pt idx="10">
                  <c:v>制造业</c:v>
                </c:pt>
                <c:pt idx="11">
                  <c:v>金融业</c:v>
                </c:pt>
                <c:pt idx="12">
                  <c:v>房地产业</c:v>
                </c:pt>
                <c:pt idx="13">
                  <c:v>采矿业</c:v>
                </c:pt>
              </c:strCache>
            </c:strRef>
          </c:cat>
          <c:val>
            <c:numRef>
              <c:f>图表!$F$287:$F$300</c:f>
              <c:numCache>
                <c:formatCode>0%</c:formatCode>
                <c:ptCount val="14"/>
                <c:pt idx="0">
                  <c:v>0.36571120076194202</c:v>
                </c:pt>
                <c:pt idx="1">
                  <c:v>0.39614918088352502</c:v>
                </c:pt>
                <c:pt idx="2">
                  <c:v>0.62677862590200195</c:v>
                </c:pt>
                <c:pt idx="3">
                  <c:v>0.64890725349910805</c:v>
                </c:pt>
                <c:pt idx="4">
                  <c:v>0.65732218956660005</c:v>
                </c:pt>
                <c:pt idx="5">
                  <c:v>0.66452375433115596</c:v>
                </c:pt>
                <c:pt idx="6">
                  <c:v>0.70857192068470098</c:v>
                </c:pt>
                <c:pt idx="7">
                  <c:v>0.751725212438077</c:v>
                </c:pt>
                <c:pt idx="8">
                  <c:v>0.75604493607302203</c:v>
                </c:pt>
                <c:pt idx="9">
                  <c:v>0.77356449193950705</c:v>
                </c:pt>
                <c:pt idx="10">
                  <c:v>0.80210982067447401</c:v>
                </c:pt>
                <c:pt idx="11">
                  <c:v>0.87885468314959103</c:v>
                </c:pt>
                <c:pt idx="12">
                  <c:v>0.88572122900856598</c:v>
                </c:pt>
                <c:pt idx="13">
                  <c:v>0.89831171387786002</c:v>
                </c:pt>
              </c:numCache>
            </c:numRef>
          </c:val>
          <c:extLst xmlns:c16r2="http://schemas.microsoft.com/office/drawing/2015/06/chart">
            <c:ext xmlns:c16="http://schemas.microsoft.com/office/drawing/2014/chart" uri="{C3380CC4-5D6E-409C-BE32-E72D297353CC}">
              <c16:uniqueId val="{00000001-DCCA-46D7-839A-C779BFD791EA}"/>
            </c:ext>
          </c:extLst>
        </c:ser>
        <c:dLbls>
          <c:showLegendKey val="0"/>
          <c:showVal val="0"/>
          <c:showCatName val="0"/>
          <c:showSerName val="0"/>
          <c:showPercent val="0"/>
          <c:showBubbleSize val="0"/>
        </c:dLbls>
        <c:gapWidth val="75"/>
        <c:overlap val="100"/>
        <c:axId val="244821376"/>
        <c:axId val="245240960"/>
      </c:barChart>
      <c:catAx>
        <c:axId val="2448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宋体" panose="02010600030101010101" charset="-122"/>
                <a:ea typeface="宋体" panose="02010600030101010101" charset="-122"/>
                <a:cs typeface="Arial" panose="020B0604020202020204" pitchFamily="2"/>
              </a:defRPr>
            </a:pPr>
            <a:endParaRPr lang="zh-CN"/>
          </a:p>
        </c:txPr>
        <c:crossAx val="245240960"/>
        <c:crosses val="autoZero"/>
        <c:auto val="1"/>
        <c:lblAlgn val="ctr"/>
        <c:lblOffset val="100"/>
        <c:noMultiLvlLbl val="0"/>
      </c:catAx>
      <c:valAx>
        <c:axId val="245240960"/>
        <c:scaling>
          <c:orientation val="minMax"/>
        </c:scaling>
        <c:delete val="0"/>
        <c:axPos val="l"/>
        <c:majorGridlines>
          <c:spPr>
            <a:ln w="3175" cap="flat" cmpd="sng" algn="ctr">
              <a:solidFill>
                <a:srgbClr val="000000"/>
              </a:solidFill>
              <a:prstDash val="sysDash"/>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4821376"/>
        <c:crosses val="autoZero"/>
        <c:crossBetween val="between"/>
      </c:valAx>
      <c:spPr>
        <a:noFill/>
        <a:ln w="25400">
          <a:noFill/>
        </a:ln>
        <a:effectLst/>
      </c:spPr>
    </c:plotArea>
    <c:legend>
      <c:legendPos val="b"/>
      <c:layout>
        <c:manualLayout>
          <c:xMode val="edge"/>
          <c:yMode val="edge"/>
          <c:x val="0.29270833333333302"/>
          <c:y val="0.75393518518518499"/>
        </c:manualLayout>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50" b="1" i="0" u="none" strike="noStrike" kern="1200" spc="0" baseline="0">
                <a:solidFill>
                  <a:sysClr val="windowText" lastClr="000000"/>
                </a:solidFill>
                <a:latin typeface="宋体" panose="02010600030101010101" charset="-122"/>
                <a:ea typeface="宋体" panose="02010600030101010101" charset="-122"/>
                <a:cs typeface="+mn-cs"/>
              </a:defRPr>
            </a:pPr>
            <a:r>
              <a:rPr lang="zh-CN" sz="1050" b="1" i="0" u="none" strike="noStrike" kern="1200" spc="0" baseline="0">
                <a:solidFill>
                  <a:sysClr val="windowText" lastClr="000000"/>
                </a:solidFill>
                <a:latin typeface="宋体" panose="02010600030101010101" charset="-122"/>
                <a:ea typeface="宋体" panose="02010600030101010101" charset="-122"/>
                <a:cs typeface="+mn-cs"/>
              </a:rPr>
              <a:t>图4</a:t>
            </a:r>
            <a:r>
              <a:rPr lang="en-US" altLang="zh-CN" sz="1050" b="1" i="0" u="none" strike="noStrike" kern="1200" spc="0" baseline="0">
                <a:solidFill>
                  <a:sysClr val="windowText" lastClr="000000"/>
                </a:solidFill>
                <a:latin typeface="宋体" panose="02010600030101010101" charset="-122"/>
                <a:ea typeface="宋体" panose="02010600030101010101" charset="-122"/>
                <a:cs typeface="+mn-cs"/>
              </a:rPr>
              <a:t>  </a:t>
            </a:r>
            <a:r>
              <a:rPr lang="zh-CN" sz="1050" b="1" i="0" u="none" strike="noStrike" kern="1200" spc="0" baseline="0">
                <a:solidFill>
                  <a:sysClr val="windowText" lastClr="000000"/>
                </a:solidFill>
                <a:latin typeface="宋体" panose="02010600030101010101" charset="-122"/>
                <a:ea typeface="宋体" panose="02010600030101010101" charset="-122"/>
                <a:cs typeface="+mn-cs"/>
              </a:rPr>
              <a:t>各行业</a:t>
            </a:r>
            <a:r>
              <a:rPr lang="zh-CN" altLang="en-US" sz="1050" b="1" i="0" u="none" strike="noStrike" kern="1200" spc="0" baseline="0">
                <a:solidFill>
                  <a:sysClr val="windowText" lastClr="000000"/>
                </a:solidFill>
                <a:latin typeface="宋体" panose="02010600030101010101" charset="-122"/>
                <a:ea typeface="宋体" panose="02010600030101010101" charset="-122"/>
                <a:cs typeface="+mn-cs"/>
              </a:rPr>
              <a:t>商标</a:t>
            </a:r>
            <a:r>
              <a:rPr lang="zh-CN" sz="1050" b="1" i="0" u="none" strike="noStrike" kern="1200" spc="0" baseline="0">
                <a:solidFill>
                  <a:sysClr val="windowText" lastClr="000000"/>
                </a:solidFill>
                <a:latin typeface="宋体" panose="02010600030101010101" charset="-122"/>
                <a:ea typeface="宋体" panose="02010600030101010101" charset="-122"/>
                <a:cs typeface="+mn-cs"/>
              </a:rPr>
              <a:t>品牌价值与集中度</a:t>
            </a:r>
          </a:p>
        </c:rich>
      </c:tx>
      <c:layout>
        <c:manualLayout>
          <c:xMode val="edge"/>
          <c:yMode val="edge"/>
          <c:x val="0.30784722222222199"/>
          <c:y val="0.92022657540712804"/>
        </c:manualLayout>
      </c:layout>
      <c:overlay val="0"/>
      <c:spPr>
        <a:noFill/>
        <a:ln w="25400">
          <a:noFill/>
        </a:ln>
        <a:effectLst/>
      </c:spPr>
    </c:title>
    <c:autoTitleDeleted val="0"/>
    <c:plotArea>
      <c:layout>
        <c:manualLayout>
          <c:layoutTarget val="inner"/>
          <c:xMode val="edge"/>
          <c:yMode val="edge"/>
          <c:x val="9.6611111111111106E-2"/>
          <c:y val="3.3377822935979698E-2"/>
          <c:w val="0.86486351706036801"/>
          <c:h val="0.52159031489739305"/>
        </c:manualLayout>
      </c:layout>
      <c:barChart>
        <c:barDir val="col"/>
        <c:grouping val="clustered"/>
        <c:varyColors val="0"/>
        <c:ser>
          <c:idx val="0"/>
          <c:order val="0"/>
          <c:tx>
            <c:strRef>
              <c:f>图表!$C$303</c:f>
              <c:strCache>
                <c:ptCount val="1"/>
                <c:pt idx="0">
                  <c:v>品牌价值</c:v>
                </c:pt>
              </c:strCache>
            </c:strRef>
          </c:tx>
          <c:spPr>
            <a:solidFill>
              <a:srgbClr val="FF8080"/>
            </a:solidFill>
            <a:ln w="25400">
              <a:noFill/>
            </a:ln>
            <a:effectLst/>
          </c:spPr>
          <c:invertIfNegative val="0"/>
          <c:cat>
            <c:strRef>
              <c:f>图表!$B$304:$B$311</c:f>
              <c:strCache>
                <c:ptCount val="8"/>
                <c:pt idx="0">
                  <c:v>建筑业</c:v>
                </c:pt>
                <c:pt idx="1">
                  <c:v>批发和零售业</c:v>
                </c:pt>
                <c:pt idx="2">
                  <c:v>信息传输、软件等</c:v>
                </c:pt>
                <c:pt idx="3">
                  <c:v>文化、体育和娱乐业</c:v>
                </c:pt>
                <c:pt idx="4">
                  <c:v>电、热、气及水</c:v>
                </c:pt>
                <c:pt idx="5">
                  <c:v>交运、仓储和邮政业</c:v>
                </c:pt>
                <c:pt idx="6">
                  <c:v>金融业</c:v>
                </c:pt>
                <c:pt idx="7">
                  <c:v>制造业</c:v>
                </c:pt>
              </c:strCache>
            </c:strRef>
          </c:cat>
          <c:val>
            <c:numRef>
              <c:f>图表!$C$304:$C$311</c:f>
              <c:numCache>
                <c:formatCode>General</c:formatCode>
                <c:ptCount val="8"/>
                <c:pt idx="0">
                  <c:v>1659.0065943684299</c:v>
                </c:pt>
                <c:pt idx="1">
                  <c:v>668.43512406154002</c:v>
                </c:pt>
                <c:pt idx="2">
                  <c:v>847.26189666243295</c:v>
                </c:pt>
                <c:pt idx="3">
                  <c:v>917.41207853672404</c:v>
                </c:pt>
                <c:pt idx="4">
                  <c:v>2577.1643217057599</c:v>
                </c:pt>
                <c:pt idx="5">
                  <c:v>1624.5146640953501</c:v>
                </c:pt>
                <c:pt idx="6">
                  <c:v>14000.535607182301</c:v>
                </c:pt>
                <c:pt idx="7">
                  <c:v>10328.0528656073</c:v>
                </c:pt>
              </c:numCache>
            </c:numRef>
          </c:val>
          <c:extLst xmlns:c16r2="http://schemas.microsoft.com/office/drawing/2015/06/chart">
            <c:ext xmlns:c16="http://schemas.microsoft.com/office/drawing/2014/chart" uri="{C3380CC4-5D6E-409C-BE32-E72D297353CC}">
              <c16:uniqueId val="{00000000-7423-4B19-A235-2E9794576DE8}"/>
            </c:ext>
          </c:extLst>
        </c:ser>
        <c:dLbls>
          <c:showLegendKey val="0"/>
          <c:showVal val="0"/>
          <c:showCatName val="0"/>
          <c:showSerName val="0"/>
          <c:showPercent val="0"/>
          <c:showBubbleSize val="0"/>
        </c:dLbls>
        <c:gapWidth val="219"/>
        <c:axId val="245260288"/>
        <c:axId val="245261824"/>
      </c:barChart>
      <c:lineChart>
        <c:grouping val="standard"/>
        <c:varyColors val="0"/>
        <c:ser>
          <c:idx val="1"/>
          <c:order val="1"/>
          <c:tx>
            <c:strRef>
              <c:f>图表!$D$303</c:f>
              <c:strCache>
                <c:ptCount val="1"/>
                <c:pt idx="0">
                  <c:v>HHI</c:v>
                </c:pt>
              </c:strCache>
            </c:strRef>
          </c:tx>
          <c:spPr>
            <a:ln w="25400" cap="rnd" cmpd="sng" algn="ctr">
              <a:solidFill>
                <a:srgbClr val="FF0000"/>
              </a:solidFill>
              <a:prstDash val="solid"/>
              <a:round/>
            </a:ln>
            <a:effectLst/>
          </c:spPr>
          <c:marker>
            <c:symbol val="none"/>
          </c:marker>
          <c:cat>
            <c:strRef>
              <c:f>图表!$B$304:$B$311</c:f>
              <c:strCache>
                <c:ptCount val="8"/>
                <c:pt idx="0">
                  <c:v>建筑业</c:v>
                </c:pt>
                <c:pt idx="1">
                  <c:v>批发和零售业</c:v>
                </c:pt>
                <c:pt idx="2">
                  <c:v>信息传输、软件等</c:v>
                </c:pt>
                <c:pt idx="3">
                  <c:v>文化、体育和娱乐业</c:v>
                </c:pt>
                <c:pt idx="4">
                  <c:v>电、热、气及水</c:v>
                </c:pt>
                <c:pt idx="5">
                  <c:v>交运、仓储和邮政业</c:v>
                </c:pt>
                <c:pt idx="6">
                  <c:v>金融业</c:v>
                </c:pt>
                <c:pt idx="7">
                  <c:v>制造业</c:v>
                </c:pt>
              </c:strCache>
            </c:strRef>
          </c:cat>
          <c:val>
            <c:numRef>
              <c:f>图表!$D$304:$D$311</c:f>
              <c:numCache>
                <c:formatCode>0.00</c:formatCode>
                <c:ptCount val="8"/>
                <c:pt idx="0">
                  <c:v>0.317549564754185</c:v>
                </c:pt>
                <c:pt idx="1">
                  <c:v>0.26736627514542199</c:v>
                </c:pt>
                <c:pt idx="2">
                  <c:v>0.25943577594932898</c:v>
                </c:pt>
                <c:pt idx="3">
                  <c:v>0.22564838292082001</c:v>
                </c:pt>
                <c:pt idx="4">
                  <c:v>0.20011951051848101</c:v>
                </c:pt>
                <c:pt idx="5">
                  <c:v>0.15509726776895499</c:v>
                </c:pt>
                <c:pt idx="6">
                  <c:v>0.103887706058146</c:v>
                </c:pt>
                <c:pt idx="7">
                  <c:v>4.6290697750811897E-2</c:v>
                </c:pt>
              </c:numCache>
            </c:numRef>
          </c:val>
          <c:smooth val="0"/>
          <c:extLst xmlns:c16r2="http://schemas.microsoft.com/office/drawing/2015/06/chart">
            <c:ext xmlns:c16="http://schemas.microsoft.com/office/drawing/2014/chart" uri="{C3380CC4-5D6E-409C-BE32-E72D297353CC}">
              <c16:uniqueId val="{00000001-7423-4B19-A235-2E9794576DE8}"/>
            </c:ext>
          </c:extLst>
        </c:ser>
        <c:dLbls>
          <c:showLegendKey val="0"/>
          <c:showVal val="0"/>
          <c:showCatName val="0"/>
          <c:showSerName val="0"/>
          <c:showPercent val="0"/>
          <c:showBubbleSize val="0"/>
        </c:dLbls>
        <c:marker val="1"/>
        <c:smooth val="0"/>
        <c:axId val="245263360"/>
        <c:axId val="245285632"/>
      </c:lineChart>
      <c:catAx>
        <c:axId val="2452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5261824"/>
        <c:crosses val="autoZero"/>
        <c:auto val="1"/>
        <c:lblAlgn val="ctr"/>
        <c:lblOffset val="100"/>
        <c:noMultiLvlLbl val="0"/>
      </c:catAx>
      <c:valAx>
        <c:axId val="245261824"/>
        <c:scaling>
          <c:orientation val="minMax"/>
        </c:scaling>
        <c:delete val="0"/>
        <c:axPos val="l"/>
        <c:majorGridlines>
          <c:spPr>
            <a:ln w="3175" cap="flat" cmpd="sng" algn="ctr">
              <a:solidFill>
                <a:srgbClr val="000000"/>
              </a:solidFill>
              <a:prstDash val="sysDash"/>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5260288"/>
        <c:crosses val="autoZero"/>
        <c:crossBetween val="between"/>
      </c:valAx>
      <c:catAx>
        <c:axId val="245263360"/>
        <c:scaling>
          <c:orientation val="minMax"/>
        </c:scaling>
        <c:delete val="1"/>
        <c:axPos val="b"/>
        <c:numFmt formatCode="General" sourceLinked="1"/>
        <c:majorTickMark val="out"/>
        <c:minorTickMark val="none"/>
        <c:tickLblPos val="nextTo"/>
        <c:crossAx val="245285632"/>
        <c:crosses val="autoZero"/>
        <c:auto val="1"/>
        <c:lblAlgn val="ctr"/>
        <c:lblOffset val="100"/>
        <c:noMultiLvlLbl val="0"/>
      </c:catAx>
      <c:valAx>
        <c:axId val="245285632"/>
        <c:scaling>
          <c:orientation val="minMax"/>
        </c:scaling>
        <c:delete val="0"/>
        <c:axPos val="r"/>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5263360"/>
        <c:crosses val="max"/>
        <c:crossBetween val="between"/>
      </c:valAx>
      <c:spPr>
        <a:noFill/>
        <a:ln w="25400">
          <a:noFill/>
        </a:ln>
        <a:effectLst/>
      </c:spPr>
    </c:plotArea>
    <c:legend>
      <c:legendPos val="t"/>
      <c:layout>
        <c:manualLayout>
          <c:xMode val="edge"/>
          <c:yMode val="edge"/>
          <c:x val="0.33750000000000002"/>
          <c:y val="0.125796554165683"/>
          <c:w val="0.32500000000000001"/>
          <c:h val="7.0379985839037096E-2"/>
        </c:manualLayout>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zh-CN" sz="1050" b="1" i="0" u="none" strike="noStrike" kern="1200" spc="0" baseline="0">
                <a:solidFill>
                  <a:sysClr val="windowText" lastClr="000000"/>
                </a:solidFill>
                <a:latin typeface="宋体" panose="02010600030101010101" charset="-122"/>
                <a:ea typeface="宋体" panose="02010600030101010101" charset="-122"/>
                <a:cs typeface="+mn-cs"/>
              </a:defRPr>
            </a:pPr>
            <a:r>
              <a:rPr lang="zh-CN" sz="1050" b="1" i="0" u="none" strike="noStrike" kern="1200" spc="0" baseline="0">
                <a:solidFill>
                  <a:sysClr val="windowText" lastClr="000000"/>
                </a:solidFill>
                <a:latin typeface="宋体" panose="02010600030101010101" charset="-122"/>
                <a:ea typeface="宋体" panose="02010600030101010101" charset="-122"/>
                <a:cs typeface="+mn-cs"/>
              </a:rPr>
              <a:t>图5</a:t>
            </a:r>
            <a:r>
              <a:rPr lang="en-US" altLang="zh-CN" sz="1050" b="1" i="0" u="none" strike="noStrike" kern="1200" spc="0" baseline="0">
                <a:solidFill>
                  <a:sysClr val="windowText" lastClr="000000"/>
                </a:solidFill>
                <a:latin typeface="宋体" panose="02010600030101010101" charset="-122"/>
                <a:ea typeface="宋体" panose="02010600030101010101" charset="-122"/>
                <a:cs typeface="+mn-cs"/>
              </a:rPr>
              <a:t>  </a:t>
            </a:r>
            <a:r>
              <a:rPr lang="zh-CN" sz="1050" b="1" i="0" u="none" strike="noStrike" kern="1200" spc="0" baseline="0">
                <a:solidFill>
                  <a:sysClr val="windowText" lastClr="000000"/>
                </a:solidFill>
                <a:latin typeface="宋体" panose="02010600030101010101" charset="-122"/>
                <a:ea typeface="宋体" panose="02010600030101010101" charset="-122"/>
                <a:cs typeface="+mn-cs"/>
              </a:rPr>
              <a:t>上榜企业净资产收益率与行业对比</a:t>
            </a:r>
            <a:r>
              <a:rPr lang="zh-CN" altLang="en-US" sz="1050" b="1" i="0" u="none" strike="noStrike" kern="1200" spc="0" baseline="0">
                <a:solidFill>
                  <a:sysClr val="windowText" lastClr="000000"/>
                </a:solidFill>
                <a:latin typeface="宋体" panose="02010600030101010101" charset="-122"/>
                <a:ea typeface="宋体" panose="02010600030101010101" charset="-122"/>
                <a:cs typeface="+mn-cs"/>
              </a:rPr>
              <a:t>（单位：</a:t>
            </a:r>
            <a:r>
              <a:rPr lang="en-US" altLang="zh-CN" sz="1050" b="1" i="0" u="none" strike="noStrike" kern="1200" spc="0" baseline="0">
                <a:solidFill>
                  <a:sysClr val="windowText" lastClr="000000"/>
                </a:solidFill>
                <a:latin typeface="宋体" panose="02010600030101010101" charset="-122"/>
                <a:ea typeface="宋体" panose="02010600030101010101" charset="-122"/>
                <a:cs typeface="+mn-cs"/>
              </a:rPr>
              <a:t>%</a:t>
            </a:r>
            <a:r>
              <a:rPr lang="zh-CN" altLang="en-US" sz="1050" b="1" i="0" u="none" strike="noStrike" kern="1200" spc="0" baseline="0">
                <a:solidFill>
                  <a:sysClr val="windowText" lastClr="000000"/>
                </a:solidFill>
                <a:latin typeface="宋体" panose="02010600030101010101" charset="-122"/>
                <a:ea typeface="宋体" panose="02010600030101010101" charset="-122"/>
                <a:cs typeface="+mn-cs"/>
              </a:rPr>
              <a:t>）</a:t>
            </a:r>
            <a:endParaRPr lang="zh-CN" sz="1050" b="1" i="0" u="none" strike="noStrike" kern="1200" spc="0" baseline="0">
              <a:solidFill>
                <a:sysClr val="windowText" lastClr="000000"/>
              </a:solidFill>
              <a:latin typeface="宋体" panose="02010600030101010101" charset="-122"/>
              <a:ea typeface="宋体" panose="02010600030101010101" charset="-122"/>
              <a:cs typeface="+mn-cs"/>
            </a:endParaRPr>
          </a:p>
        </c:rich>
      </c:tx>
      <c:layout>
        <c:manualLayout>
          <c:xMode val="edge"/>
          <c:yMode val="edge"/>
          <c:x val="0.18167589694197001"/>
          <c:y val="0.91293322062552795"/>
        </c:manualLayout>
      </c:layout>
      <c:overlay val="0"/>
      <c:spPr>
        <a:noFill/>
        <a:ln w="25400">
          <a:noFill/>
        </a:ln>
        <a:effectLst/>
      </c:spPr>
    </c:title>
    <c:autoTitleDeleted val="0"/>
    <c:plotArea>
      <c:layout>
        <c:manualLayout>
          <c:layoutTarget val="inner"/>
          <c:xMode val="edge"/>
          <c:yMode val="edge"/>
          <c:x val="0.12093860007797901"/>
          <c:y val="0.109861829186973"/>
          <c:w val="0.72404132170123703"/>
          <c:h val="0.50504571369097095"/>
        </c:manualLayout>
      </c:layout>
      <c:lineChart>
        <c:grouping val="standard"/>
        <c:varyColors val="0"/>
        <c:ser>
          <c:idx val="0"/>
          <c:order val="0"/>
          <c:tx>
            <c:strRef>
              <c:f>图表!$C$319</c:f>
              <c:strCache>
                <c:ptCount val="1"/>
                <c:pt idx="0">
                  <c:v>上榜企业平均ROE（平均，2017年年报）</c:v>
                </c:pt>
              </c:strCache>
            </c:strRef>
          </c:tx>
          <c:spPr>
            <a:ln w="25400" cap="rnd" cmpd="sng" algn="ctr">
              <a:solidFill>
                <a:srgbClr val="FF0000"/>
              </a:solidFill>
              <a:prstDash val="solid"/>
              <a:round/>
            </a:ln>
            <a:effectLst/>
          </c:spPr>
          <c:marker>
            <c:symbol val="none"/>
          </c:marker>
          <c:cat>
            <c:strRef>
              <c:f>图表!$B$320:$B$333</c:f>
              <c:strCache>
                <c:ptCount val="14"/>
                <c:pt idx="0">
                  <c:v>文化、体育和娱乐业</c:v>
                </c:pt>
                <c:pt idx="1">
                  <c:v>交运、仓储和邮政业</c:v>
                </c:pt>
                <c:pt idx="2">
                  <c:v>房地产业</c:v>
                </c:pt>
                <c:pt idx="3">
                  <c:v>水利、环境和公共设施</c:v>
                </c:pt>
                <c:pt idx="4">
                  <c:v>金融业</c:v>
                </c:pt>
                <c:pt idx="5">
                  <c:v>建筑业</c:v>
                </c:pt>
                <c:pt idx="6">
                  <c:v>信息传输、软件等</c:v>
                </c:pt>
                <c:pt idx="7">
                  <c:v>批发和零售业</c:v>
                </c:pt>
                <c:pt idx="8">
                  <c:v>住宿和餐饮业</c:v>
                </c:pt>
                <c:pt idx="9">
                  <c:v>租赁和商务服务业</c:v>
                </c:pt>
                <c:pt idx="10">
                  <c:v>电、热、气及水</c:v>
                </c:pt>
                <c:pt idx="11">
                  <c:v>采矿业</c:v>
                </c:pt>
                <c:pt idx="12">
                  <c:v>制造业</c:v>
                </c:pt>
                <c:pt idx="13">
                  <c:v>农、林、牧、渔业</c:v>
                </c:pt>
              </c:strCache>
            </c:strRef>
          </c:cat>
          <c:val>
            <c:numRef>
              <c:f>图表!$C$320:$C$333</c:f>
              <c:numCache>
                <c:formatCode>0.00</c:formatCode>
                <c:ptCount val="14"/>
                <c:pt idx="0">
                  <c:v>11.438079999999999</c:v>
                </c:pt>
                <c:pt idx="1">
                  <c:v>13.9730428571429</c:v>
                </c:pt>
                <c:pt idx="2">
                  <c:v>23.499233333333301</c:v>
                </c:pt>
                <c:pt idx="3">
                  <c:v>16.495200000000001</c:v>
                </c:pt>
                <c:pt idx="4">
                  <c:v>11.887608333333301</c:v>
                </c:pt>
                <c:pt idx="5">
                  <c:v>12.660575</c:v>
                </c:pt>
                <c:pt idx="6">
                  <c:v>14.147550000000001</c:v>
                </c:pt>
                <c:pt idx="7">
                  <c:v>14.702175</c:v>
                </c:pt>
                <c:pt idx="8">
                  <c:v>6.8391999999999999</c:v>
                </c:pt>
                <c:pt idx="9">
                  <c:v>29.412800000000001</c:v>
                </c:pt>
                <c:pt idx="10">
                  <c:v>7.6276000000000002</c:v>
                </c:pt>
                <c:pt idx="11">
                  <c:v>7.8963666666666699</c:v>
                </c:pt>
                <c:pt idx="12">
                  <c:v>20.795853125000001</c:v>
                </c:pt>
                <c:pt idx="13">
                  <c:v>21.405799999999999</c:v>
                </c:pt>
              </c:numCache>
            </c:numRef>
          </c:val>
          <c:smooth val="0"/>
          <c:extLst xmlns:c16r2="http://schemas.microsoft.com/office/drawing/2015/06/chart">
            <c:ext xmlns:c16="http://schemas.microsoft.com/office/drawing/2014/chart" uri="{C3380CC4-5D6E-409C-BE32-E72D297353CC}">
              <c16:uniqueId val="{00000000-962D-49BE-8E91-6FDA81B9A862}"/>
            </c:ext>
          </c:extLst>
        </c:ser>
        <c:ser>
          <c:idx val="1"/>
          <c:order val="1"/>
          <c:tx>
            <c:strRef>
              <c:f>图表!$D$319</c:f>
              <c:strCache>
                <c:ptCount val="1"/>
                <c:pt idx="0">
                  <c:v>行业平均ROE（平均，2017年年报）</c:v>
                </c:pt>
              </c:strCache>
            </c:strRef>
          </c:tx>
          <c:spPr>
            <a:ln w="25400" cap="rnd" cmpd="sng" algn="ctr">
              <a:solidFill>
                <a:srgbClr val="044E7E"/>
              </a:solidFill>
              <a:prstDash val="solid"/>
              <a:round/>
            </a:ln>
            <a:effectLst/>
          </c:spPr>
          <c:marker>
            <c:symbol val="none"/>
          </c:marker>
          <c:cat>
            <c:strRef>
              <c:f>图表!$B$320:$B$333</c:f>
              <c:strCache>
                <c:ptCount val="14"/>
                <c:pt idx="0">
                  <c:v>文化、体育和娱乐业</c:v>
                </c:pt>
                <c:pt idx="1">
                  <c:v>交运、仓储和邮政业</c:v>
                </c:pt>
                <c:pt idx="2">
                  <c:v>房地产业</c:v>
                </c:pt>
                <c:pt idx="3">
                  <c:v>水利、环境和公共设施</c:v>
                </c:pt>
                <c:pt idx="4">
                  <c:v>金融业</c:v>
                </c:pt>
                <c:pt idx="5">
                  <c:v>建筑业</c:v>
                </c:pt>
                <c:pt idx="6">
                  <c:v>信息传输、软件等</c:v>
                </c:pt>
                <c:pt idx="7">
                  <c:v>批发和零售业</c:v>
                </c:pt>
                <c:pt idx="8">
                  <c:v>住宿和餐饮业</c:v>
                </c:pt>
                <c:pt idx="9">
                  <c:v>租赁和商务服务业</c:v>
                </c:pt>
                <c:pt idx="10">
                  <c:v>电、热、气及水</c:v>
                </c:pt>
                <c:pt idx="11">
                  <c:v>采矿业</c:v>
                </c:pt>
                <c:pt idx="12">
                  <c:v>制造业</c:v>
                </c:pt>
                <c:pt idx="13">
                  <c:v>农、林、牧、渔业</c:v>
                </c:pt>
              </c:strCache>
            </c:strRef>
          </c:cat>
          <c:val>
            <c:numRef>
              <c:f>图表!$D$320:$D$333</c:f>
              <c:numCache>
                <c:formatCode>General</c:formatCode>
                <c:ptCount val="14"/>
                <c:pt idx="0">
                  <c:v>10.78</c:v>
                </c:pt>
                <c:pt idx="1">
                  <c:v>10.18</c:v>
                </c:pt>
                <c:pt idx="2">
                  <c:v>9.35</c:v>
                </c:pt>
                <c:pt idx="3">
                  <c:v>9.0500000000000007</c:v>
                </c:pt>
                <c:pt idx="4">
                  <c:v>9.0299999999999994</c:v>
                </c:pt>
                <c:pt idx="5">
                  <c:v>8.8000000000000007</c:v>
                </c:pt>
                <c:pt idx="6">
                  <c:v>6.86</c:v>
                </c:pt>
                <c:pt idx="7">
                  <c:v>6.28</c:v>
                </c:pt>
                <c:pt idx="8" formatCode="#,##0.00_ ">
                  <c:v>5.98</c:v>
                </c:pt>
                <c:pt idx="9">
                  <c:v>5.67</c:v>
                </c:pt>
                <c:pt idx="10">
                  <c:v>4.22</c:v>
                </c:pt>
                <c:pt idx="11">
                  <c:v>2.11</c:v>
                </c:pt>
                <c:pt idx="12">
                  <c:v>-0.7</c:v>
                </c:pt>
                <c:pt idx="13" formatCode="#,##0.00_ ">
                  <c:v>-4.58</c:v>
                </c:pt>
              </c:numCache>
            </c:numRef>
          </c:val>
          <c:smooth val="0"/>
          <c:extLst xmlns:c16r2="http://schemas.microsoft.com/office/drawing/2015/06/chart">
            <c:ext xmlns:c16="http://schemas.microsoft.com/office/drawing/2014/chart" uri="{C3380CC4-5D6E-409C-BE32-E72D297353CC}">
              <c16:uniqueId val="{00000001-962D-49BE-8E91-6FDA81B9A862}"/>
            </c:ext>
          </c:extLst>
        </c:ser>
        <c:dLbls>
          <c:showLegendKey val="0"/>
          <c:showVal val="0"/>
          <c:showCatName val="0"/>
          <c:showSerName val="0"/>
          <c:showPercent val="0"/>
          <c:showBubbleSize val="0"/>
        </c:dLbls>
        <c:hiLowLines>
          <c:spPr>
            <a:ln w="9525" cap="flat" cmpd="sng" algn="ctr">
              <a:solidFill>
                <a:schemeClr val="tx1">
                  <a:lumMod val="50000"/>
                  <a:lumOff val="50000"/>
                </a:schemeClr>
              </a:solidFill>
              <a:prstDash val="solid"/>
              <a:round/>
            </a:ln>
            <a:effectLst/>
          </c:spPr>
        </c:hiLowLines>
        <c:marker val="1"/>
        <c:smooth val="0"/>
        <c:axId val="245701248"/>
        <c:axId val="245715328"/>
      </c:lineChart>
      <c:catAx>
        <c:axId val="2457012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5715328"/>
        <c:crosses val="autoZero"/>
        <c:auto val="1"/>
        <c:lblAlgn val="ctr"/>
        <c:lblOffset val="100"/>
        <c:noMultiLvlLbl val="0"/>
      </c:catAx>
      <c:valAx>
        <c:axId val="245715328"/>
        <c:scaling>
          <c:orientation val="minMax"/>
        </c:scaling>
        <c:delete val="0"/>
        <c:axPos val="l"/>
        <c:majorGridlines>
          <c:spPr>
            <a:ln w="3175" cap="flat" cmpd="sng" algn="ctr">
              <a:solidFill>
                <a:srgbClr val="000000"/>
              </a:solidFill>
              <a:prstDash val="sysDash"/>
              <a:round/>
            </a:ln>
            <a:effectLst/>
          </c:spPr>
        </c:majorGridlines>
        <c:numFmt formatCode="0.00"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Arial" panose="020B0604020202020204" pitchFamily="2"/>
                <a:ea typeface="Arial" panose="020B0604020202020204" pitchFamily="2"/>
                <a:cs typeface="Arial" panose="020B0604020202020204" pitchFamily="2"/>
              </a:defRPr>
            </a:pPr>
            <a:endParaRPr lang="zh-CN"/>
          </a:p>
        </c:txPr>
        <c:crossAx val="245701248"/>
        <c:crosses val="autoZero"/>
        <c:crossBetween val="between"/>
      </c:valAx>
      <c:spPr>
        <a:noFill/>
        <a:ln w="25400">
          <a:noFill/>
        </a:ln>
        <a:effectLst/>
      </c:spPr>
    </c:plotArea>
    <c:legend>
      <c:legendPos val="r"/>
      <c:layout>
        <c:manualLayout>
          <c:xMode val="edge"/>
          <c:yMode val="edge"/>
          <c:x val="0.123362345052467"/>
          <c:y val="9.1648417754315301E-2"/>
          <c:w val="0.55299094626734402"/>
          <c:h val="0.144222839390104"/>
        </c:manualLayout>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25400" cap="flat" cmpd="sng" algn="ctr">
      <a:no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7</a:t>
            </a:r>
            <a:r>
              <a:rPr lang="zh-CN" altLang="en-US" sz="1000" b="1">
                <a:solidFill>
                  <a:sysClr val="windowText" lastClr="000000"/>
                </a:solidFill>
                <a:latin typeface="宋体" panose="02010600030101010101" charset="-122"/>
                <a:ea typeface="宋体" panose="02010600030101010101" charset="-122"/>
              </a:rPr>
              <a:t>   上榜企业每十名资产规模均值变化趋势</a:t>
            </a:r>
          </a:p>
        </c:rich>
      </c:tx>
      <c:layout>
        <c:manualLayout>
          <c:xMode val="edge"/>
          <c:yMode val="edge"/>
          <c:x val="0.172992206031854"/>
          <c:y val="0.86439588688946001"/>
        </c:manualLayout>
      </c:layout>
      <c:overlay val="0"/>
      <c:spPr>
        <a:noFill/>
        <a:ln>
          <a:noFill/>
        </a:ln>
        <a:effectLst/>
      </c:spPr>
    </c:title>
    <c:autoTitleDeleted val="0"/>
    <c:plotArea>
      <c:layout>
        <c:manualLayout>
          <c:layoutTarget val="inner"/>
          <c:xMode val="edge"/>
          <c:yMode val="edge"/>
          <c:x val="0.15072856658759701"/>
          <c:y val="6.2660668380462706E-2"/>
          <c:w val="0.82114537444933899"/>
          <c:h val="0.4676735218509"/>
        </c:manualLayout>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4"/>
              <c:layout>
                <c:manualLayout>
                  <c:x val="-1.57803376992268E-2"/>
                  <c:y val="3.2858707557502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62-4CE8-81B6-B0F23AD161EC}"/>
                </c:ext>
              </c:extLst>
            </c:dLbl>
            <c:dLbl>
              <c:idx val="6"/>
              <c:layout>
                <c:manualLayout>
                  <c:x val="-1.1572113964051599E-16"/>
                  <c:y val="1.642935377875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62-4CE8-81B6-B0F23AD161EC}"/>
                </c:ext>
              </c:extLst>
            </c:dLbl>
            <c:dLbl>
              <c:idx val="7"/>
              <c:layout>
                <c:manualLayout>
                  <c:x val="-2.8404607858608301E-2"/>
                  <c:y val="-3.8335158817086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62-4CE8-81B6-B0F23AD161EC}"/>
                </c:ext>
              </c:extLst>
            </c:dLbl>
            <c:dLbl>
              <c:idx val="8"/>
              <c:layout>
                <c:manualLayout>
                  <c:x val="-1.8936405239072199E-2"/>
                  <c:y val="-3.2858707557502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62-4CE8-81B6-B0F23AD161E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图表!$A$176:$A$185</c:f>
              <c:strCache>
                <c:ptCount val="10"/>
                <c:pt idx="0">
                  <c:v>1-10名</c:v>
                </c:pt>
                <c:pt idx="1">
                  <c:v>11-20名</c:v>
                </c:pt>
                <c:pt idx="2">
                  <c:v>21-30名</c:v>
                </c:pt>
                <c:pt idx="3">
                  <c:v>31-40名</c:v>
                </c:pt>
                <c:pt idx="4">
                  <c:v>41-50名</c:v>
                </c:pt>
                <c:pt idx="5">
                  <c:v>51-60名</c:v>
                </c:pt>
                <c:pt idx="6">
                  <c:v>61-70名</c:v>
                </c:pt>
                <c:pt idx="7">
                  <c:v>71-80名</c:v>
                </c:pt>
                <c:pt idx="8">
                  <c:v>81-90名</c:v>
                </c:pt>
                <c:pt idx="9">
                  <c:v>91-100名</c:v>
                </c:pt>
              </c:strCache>
            </c:strRef>
          </c:cat>
          <c:val>
            <c:numRef>
              <c:f>图表!$B$176:$B$185</c:f>
              <c:numCache>
                <c:formatCode>0</c:formatCode>
                <c:ptCount val="10"/>
                <c:pt idx="0">
                  <c:v>100623.82323837699</c:v>
                </c:pt>
                <c:pt idx="1">
                  <c:v>20704.787771232699</c:v>
                </c:pt>
                <c:pt idx="2">
                  <c:v>2054.4694022230101</c:v>
                </c:pt>
                <c:pt idx="3">
                  <c:v>18779.779358414198</c:v>
                </c:pt>
                <c:pt idx="4">
                  <c:v>5413.7510537648604</c:v>
                </c:pt>
                <c:pt idx="5">
                  <c:v>8333.9088071320293</c:v>
                </c:pt>
                <c:pt idx="6">
                  <c:v>924.75281475890995</c:v>
                </c:pt>
                <c:pt idx="7">
                  <c:v>10697.533322748701</c:v>
                </c:pt>
                <c:pt idx="8">
                  <c:v>5866.9613449840599</c:v>
                </c:pt>
                <c:pt idx="9">
                  <c:v>823.86692653944897</c:v>
                </c:pt>
              </c:numCache>
            </c:numRef>
          </c:val>
          <c:smooth val="0"/>
          <c:extLst xmlns:c16r2="http://schemas.microsoft.com/office/drawing/2015/06/chart">
            <c:ext xmlns:c16="http://schemas.microsoft.com/office/drawing/2014/chart" uri="{C3380CC4-5D6E-409C-BE32-E72D297353CC}">
              <c16:uniqueId val="{00000004-FB62-4CE8-81B6-B0F23AD161EC}"/>
            </c:ext>
          </c:extLst>
        </c:ser>
        <c:dLbls>
          <c:showLegendKey val="0"/>
          <c:showVal val="0"/>
          <c:showCatName val="0"/>
          <c:showSerName val="0"/>
          <c:showPercent val="0"/>
          <c:showBubbleSize val="0"/>
        </c:dLbls>
        <c:marker val="1"/>
        <c:smooth val="0"/>
        <c:axId val="245746304"/>
        <c:axId val="245752192"/>
      </c:lineChart>
      <c:catAx>
        <c:axId val="24574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245752192"/>
        <c:crosses val="autoZero"/>
        <c:auto val="1"/>
        <c:lblAlgn val="ctr"/>
        <c:lblOffset val="100"/>
        <c:noMultiLvlLbl val="0"/>
      </c:catAx>
      <c:valAx>
        <c:axId val="245752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solidFill>
              <a:schemeClr val="bg1">
                <a:lumMod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57463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8</a:t>
            </a:r>
            <a:r>
              <a:rPr lang="zh-CN" altLang="en-US" sz="1000" b="1">
                <a:solidFill>
                  <a:sysClr val="windowText" lastClr="000000"/>
                </a:solidFill>
                <a:latin typeface="宋体" panose="02010600030101010101" charset="-122"/>
                <a:ea typeface="宋体" panose="02010600030101010101" charset="-122"/>
              </a:rPr>
              <a:t>  金融业上榜企业资产规模名次分布</a:t>
            </a:r>
          </a:p>
        </c:rich>
      </c:tx>
      <c:layout>
        <c:manualLayout>
          <c:xMode val="edge"/>
          <c:yMode val="edge"/>
          <c:x val="0.173123486682809"/>
          <c:y val="0.87627627627627602"/>
        </c:manualLayout>
      </c:layout>
      <c:overlay val="0"/>
      <c:spPr>
        <a:noFill/>
        <a:ln>
          <a:noFill/>
        </a:ln>
        <a:effectLst/>
      </c:spPr>
    </c:title>
    <c:autoTitleDeleted val="0"/>
    <c:plotArea>
      <c:layout>
        <c:manualLayout>
          <c:layoutTarget val="inner"/>
          <c:xMode val="edge"/>
          <c:yMode val="edge"/>
          <c:x val="0.227360774818402"/>
          <c:y val="0.10660660660660699"/>
          <c:w val="0.72516430300933898"/>
          <c:h val="0.53045045045045003"/>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图表!$C$191:$C$214</c:f>
              <c:numCache>
                <c:formatCode>General</c:formatCode>
                <c:ptCount val="24"/>
                <c:pt idx="0">
                  <c:v>1</c:v>
                </c:pt>
                <c:pt idx="1">
                  <c:v>2</c:v>
                </c:pt>
                <c:pt idx="2">
                  <c:v>3</c:v>
                </c:pt>
                <c:pt idx="3">
                  <c:v>4</c:v>
                </c:pt>
                <c:pt idx="4">
                  <c:v>8</c:v>
                </c:pt>
                <c:pt idx="5">
                  <c:v>12</c:v>
                </c:pt>
                <c:pt idx="6">
                  <c:v>14</c:v>
                </c:pt>
                <c:pt idx="7">
                  <c:v>18</c:v>
                </c:pt>
                <c:pt idx="8">
                  <c:v>32</c:v>
                </c:pt>
                <c:pt idx="9">
                  <c:v>33</c:v>
                </c:pt>
                <c:pt idx="10">
                  <c:v>37</c:v>
                </c:pt>
                <c:pt idx="11">
                  <c:v>40</c:v>
                </c:pt>
                <c:pt idx="12">
                  <c:v>48</c:v>
                </c:pt>
                <c:pt idx="13">
                  <c:v>51</c:v>
                </c:pt>
                <c:pt idx="14">
                  <c:v>55</c:v>
                </c:pt>
                <c:pt idx="15">
                  <c:v>67</c:v>
                </c:pt>
                <c:pt idx="16">
                  <c:v>74</c:v>
                </c:pt>
                <c:pt idx="17">
                  <c:v>76</c:v>
                </c:pt>
                <c:pt idx="18">
                  <c:v>79</c:v>
                </c:pt>
                <c:pt idx="19">
                  <c:v>80</c:v>
                </c:pt>
                <c:pt idx="20">
                  <c:v>82</c:v>
                </c:pt>
                <c:pt idx="21">
                  <c:v>86</c:v>
                </c:pt>
                <c:pt idx="22">
                  <c:v>89</c:v>
                </c:pt>
                <c:pt idx="23">
                  <c:v>90</c:v>
                </c:pt>
              </c:numCache>
            </c:numRef>
          </c:xVal>
          <c:yVal>
            <c:numRef>
              <c:f>图表!$D$191:$D$214</c:f>
              <c:numCache>
                <c:formatCode>#,##0.00_ </c:formatCode>
                <c:ptCount val="24"/>
                <c:pt idx="0">
                  <c:v>260870.43</c:v>
                </c:pt>
                <c:pt idx="1">
                  <c:v>221243.83</c:v>
                </c:pt>
                <c:pt idx="2">
                  <c:v>210533.82</c:v>
                </c:pt>
                <c:pt idx="3">
                  <c:v>194674.24</c:v>
                </c:pt>
                <c:pt idx="4">
                  <c:v>64930.75</c:v>
                </c:pt>
                <c:pt idx="5">
                  <c:v>28975.91</c:v>
                </c:pt>
                <c:pt idx="6">
                  <c:v>62976.38</c:v>
                </c:pt>
                <c:pt idx="7">
                  <c:v>90382.54</c:v>
                </c:pt>
                <c:pt idx="8">
                  <c:v>61372.4</c:v>
                </c:pt>
                <c:pt idx="9">
                  <c:v>6255.7464389016995</c:v>
                </c:pt>
                <c:pt idx="10">
                  <c:v>56776.91</c:v>
                </c:pt>
                <c:pt idx="11">
                  <c:v>59020.86</c:v>
                </c:pt>
                <c:pt idx="12">
                  <c:v>11712.24</c:v>
                </c:pt>
                <c:pt idx="13">
                  <c:v>64168.42</c:v>
                </c:pt>
                <c:pt idx="14">
                  <c:v>5347.0633278981004</c:v>
                </c:pt>
                <c:pt idx="15">
                  <c:v>4316.4818707799996</c:v>
                </c:pt>
                <c:pt idx="16">
                  <c:v>40882.43</c:v>
                </c:pt>
                <c:pt idx="17">
                  <c:v>32484.74</c:v>
                </c:pt>
                <c:pt idx="18">
                  <c:v>3569.0463817667001</c:v>
                </c:pt>
                <c:pt idx="19">
                  <c:v>23298.05</c:v>
                </c:pt>
                <c:pt idx="20">
                  <c:v>25089.27</c:v>
                </c:pt>
                <c:pt idx="21">
                  <c:v>2999.4329818935998</c:v>
                </c:pt>
                <c:pt idx="22">
                  <c:v>3814.8253981696998</c:v>
                </c:pt>
                <c:pt idx="23">
                  <c:v>2856.4355503945999</c:v>
                </c:pt>
              </c:numCache>
            </c:numRef>
          </c:yVal>
          <c:smooth val="0"/>
          <c:extLst xmlns:c16r2="http://schemas.microsoft.com/office/drawing/2015/06/chart">
            <c:ext xmlns:c16="http://schemas.microsoft.com/office/drawing/2014/chart" uri="{C3380CC4-5D6E-409C-BE32-E72D297353CC}">
              <c16:uniqueId val="{00000000-50A8-4BC6-9C70-91A9618DA3D6}"/>
            </c:ext>
          </c:extLst>
        </c:ser>
        <c:dLbls>
          <c:showLegendKey val="0"/>
          <c:showVal val="0"/>
          <c:showCatName val="0"/>
          <c:showSerName val="0"/>
          <c:showPercent val="0"/>
          <c:showBubbleSize val="0"/>
        </c:dLbls>
        <c:axId val="245785344"/>
        <c:axId val="245787648"/>
      </c:scatterChart>
      <c:valAx>
        <c:axId val="24578534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上榜名次：名</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5787648"/>
        <c:crosses val="autoZero"/>
        <c:crossBetween val="midCat"/>
      </c:valAx>
      <c:valAx>
        <c:axId val="2457876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企业资产规模：亿</a:t>
                </a:r>
              </a:p>
            </c:rich>
          </c:tx>
          <c:overlay val="0"/>
          <c:spPr>
            <a:noFill/>
            <a:ln>
              <a:noFill/>
            </a:ln>
            <a:effectLst/>
          </c:spPr>
        </c:title>
        <c:numFmt formatCode="#,##0_ "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5785344"/>
        <c:crosses val="autoZero"/>
        <c:crossBetween val="midCat"/>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0" vert="eaVert"/>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9</a:t>
            </a:r>
            <a:r>
              <a:rPr lang="zh-CN" altLang="en-US" sz="1000" b="1">
                <a:solidFill>
                  <a:sysClr val="windowText" lastClr="000000"/>
                </a:solidFill>
                <a:latin typeface="宋体" panose="02010600030101010101" charset="-122"/>
                <a:ea typeface="宋体" panose="02010600030101010101" charset="-122"/>
              </a:rPr>
              <a:t>  制造业上榜企业资产规模名次分布</a:t>
            </a:r>
          </a:p>
        </c:rich>
      </c:tx>
      <c:layout>
        <c:manualLayout>
          <c:xMode val="edge"/>
          <c:yMode val="edge"/>
          <c:x val="0.182594417077176"/>
          <c:y val="0.83011583011583001"/>
        </c:manualLayout>
      </c:layout>
      <c:overlay val="0"/>
      <c:spPr>
        <a:noFill/>
        <a:ln>
          <a:noFill/>
        </a:ln>
        <a:effectLst/>
      </c:spPr>
    </c:title>
    <c:autoTitleDeleted val="0"/>
    <c:plotArea>
      <c:layout>
        <c:manualLayout>
          <c:layoutTarget val="inner"/>
          <c:xMode val="edge"/>
          <c:yMode val="edge"/>
          <c:x val="0.184663382594417"/>
          <c:y val="6.4152064152064106E-2"/>
          <c:w val="0.77026272577996702"/>
          <c:h val="0.535610335610336"/>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图表!$C$218:$C$249</c:f>
              <c:numCache>
                <c:formatCode>General</c:formatCode>
                <c:ptCount val="32"/>
                <c:pt idx="0">
                  <c:v>6</c:v>
                </c:pt>
                <c:pt idx="1">
                  <c:v>10</c:v>
                </c:pt>
                <c:pt idx="2">
                  <c:v>13</c:v>
                </c:pt>
                <c:pt idx="3">
                  <c:v>15</c:v>
                </c:pt>
                <c:pt idx="4">
                  <c:v>16</c:v>
                </c:pt>
                <c:pt idx="5">
                  <c:v>17</c:v>
                </c:pt>
                <c:pt idx="6">
                  <c:v>19</c:v>
                </c:pt>
                <c:pt idx="7">
                  <c:v>20</c:v>
                </c:pt>
                <c:pt idx="8">
                  <c:v>24</c:v>
                </c:pt>
                <c:pt idx="9">
                  <c:v>25</c:v>
                </c:pt>
                <c:pt idx="10">
                  <c:v>26</c:v>
                </c:pt>
                <c:pt idx="11">
                  <c:v>27</c:v>
                </c:pt>
                <c:pt idx="12">
                  <c:v>38</c:v>
                </c:pt>
                <c:pt idx="13">
                  <c:v>39</c:v>
                </c:pt>
                <c:pt idx="14">
                  <c:v>43</c:v>
                </c:pt>
                <c:pt idx="15">
                  <c:v>47</c:v>
                </c:pt>
                <c:pt idx="16">
                  <c:v>52</c:v>
                </c:pt>
                <c:pt idx="17">
                  <c:v>57</c:v>
                </c:pt>
                <c:pt idx="18">
                  <c:v>59</c:v>
                </c:pt>
                <c:pt idx="19">
                  <c:v>63</c:v>
                </c:pt>
                <c:pt idx="20">
                  <c:v>65</c:v>
                </c:pt>
                <c:pt idx="21">
                  <c:v>66</c:v>
                </c:pt>
                <c:pt idx="22">
                  <c:v>70</c:v>
                </c:pt>
                <c:pt idx="23">
                  <c:v>73</c:v>
                </c:pt>
                <c:pt idx="24">
                  <c:v>75</c:v>
                </c:pt>
                <c:pt idx="25">
                  <c:v>83</c:v>
                </c:pt>
                <c:pt idx="26">
                  <c:v>84</c:v>
                </c:pt>
                <c:pt idx="27">
                  <c:v>85</c:v>
                </c:pt>
                <c:pt idx="28">
                  <c:v>95</c:v>
                </c:pt>
                <c:pt idx="29">
                  <c:v>96</c:v>
                </c:pt>
                <c:pt idx="30">
                  <c:v>97</c:v>
                </c:pt>
                <c:pt idx="31">
                  <c:v>99</c:v>
                </c:pt>
              </c:numCache>
            </c:numRef>
          </c:xVal>
          <c:yVal>
            <c:numRef>
              <c:f>图表!$D$218:$D$249</c:f>
              <c:numCache>
                <c:formatCode>0.00</c:formatCode>
                <c:ptCount val="32"/>
                <c:pt idx="0">
                  <c:v>7235.3313126159001</c:v>
                </c:pt>
                <c:pt idx="1">
                  <c:v>3751.7088699999999</c:v>
                </c:pt>
                <c:pt idx="2">
                  <c:v>1346.1011687508001</c:v>
                </c:pt>
                <c:pt idx="3">
                  <c:v>1196.02416855</c:v>
                </c:pt>
                <c:pt idx="4">
                  <c:v>2149.6799932837998</c:v>
                </c:pt>
                <c:pt idx="5">
                  <c:v>2481.0685800000001</c:v>
                </c:pt>
                <c:pt idx="6">
                  <c:v>1514.6311070762999</c:v>
                </c:pt>
                <c:pt idx="7">
                  <c:v>515.70963466609999</c:v>
                </c:pt>
                <c:pt idx="8">
                  <c:v>1105.4707378160001</c:v>
                </c:pt>
                <c:pt idx="9">
                  <c:v>493.00355318139998</c:v>
                </c:pt>
                <c:pt idx="10">
                  <c:v>250.98302728359999</c:v>
                </c:pt>
                <c:pt idx="11">
                  <c:v>1061.2511462268999</c:v>
                </c:pt>
                <c:pt idx="12">
                  <c:v>136.43209458589999</c:v>
                </c:pt>
                <c:pt idx="13">
                  <c:v>1221.4258459600001</c:v>
                </c:pt>
                <c:pt idx="14">
                  <c:v>195.01053250659999</c:v>
                </c:pt>
                <c:pt idx="15">
                  <c:v>709.22626679429902</c:v>
                </c:pt>
                <c:pt idx="16">
                  <c:v>1780.9943000000001</c:v>
                </c:pt>
                <c:pt idx="17">
                  <c:v>230.89066159710001</c:v>
                </c:pt>
                <c:pt idx="18">
                  <c:v>180.3938477648</c:v>
                </c:pt>
                <c:pt idx="19">
                  <c:v>1233.7262647601999</c:v>
                </c:pt>
                <c:pt idx="20">
                  <c:v>277.02530540340001</c:v>
                </c:pt>
                <c:pt idx="21">
                  <c:v>658.2773224824</c:v>
                </c:pt>
                <c:pt idx="22">
                  <c:v>687.22020630609995</c:v>
                </c:pt>
                <c:pt idx="23">
                  <c:v>361.65405805400002</c:v>
                </c:pt>
                <c:pt idx="24">
                  <c:v>213.33478563969999</c:v>
                </c:pt>
                <c:pt idx="25">
                  <c:v>342.62356436879998</c:v>
                </c:pt>
                <c:pt idx="26">
                  <c:v>309.74711779</c:v>
                </c:pt>
                <c:pt idx="27">
                  <c:v>432.58140702380001</c:v>
                </c:pt>
                <c:pt idx="28">
                  <c:v>441.55384122940001</c:v>
                </c:pt>
                <c:pt idx="29">
                  <c:v>123.7602997171</c:v>
                </c:pt>
                <c:pt idx="30">
                  <c:v>1602.93984</c:v>
                </c:pt>
                <c:pt idx="31">
                  <c:v>619.7100879738</c:v>
                </c:pt>
              </c:numCache>
            </c:numRef>
          </c:yVal>
          <c:smooth val="0"/>
          <c:extLst xmlns:c16r2="http://schemas.microsoft.com/office/drawing/2015/06/chart">
            <c:ext xmlns:c16="http://schemas.microsoft.com/office/drawing/2014/chart" uri="{C3380CC4-5D6E-409C-BE32-E72D297353CC}">
              <c16:uniqueId val="{00000000-4C0A-4FF2-BF42-56FF4BA5068C}"/>
            </c:ext>
          </c:extLst>
        </c:ser>
        <c:dLbls>
          <c:showLegendKey val="0"/>
          <c:showVal val="0"/>
          <c:showCatName val="0"/>
          <c:showSerName val="0"/>
          <c:showPercent val="0"/>
          <c:showBubbleSize val="0"/>
        </c:dLbls>
        <c:axId val="245819648"/>
        <c:axId val="245969664"/>
      </c:scatterChart>
      <c:valAx>
        <c:axId val="245819648"/>
        <c:scaling>
          <c:orientation val="minMax"/>
          <c:max val="100"/>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上榜名次：名</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5969664"/>
        <c:crosses val="autoZero"/>
        <c:crossBetween val="midCat"/>
      </c:valAx>
      <c:valAx>
        <c:axId val="2459696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企业资产规模：亿</a:t>
                </a:r>
              </a:p>
            </c:rich>
          </c:tx>
          <c:overlay val="0"/>
          <c:spPr>
            <a:noFill/>
            <a:ln>
              <a:noFill/>
            </a:ln>
            <a:effectLst/>
          </c:spPr>
        </c:title>
        <c:numFmt formatCode="#,##0_ "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5819648"/>
        <c:crosses val="autoZero"/>
        <c:crossBetween val="midCat"/>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0" vert="eaVert"/>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spc="0" baseline="0">
                <a:solidFill>
                  <a:sysClr val="windowText" lastClr="000000"/>
                </a:solidFill>
                <a:latin typeface="宋体" panose="02010600030101010101" charset="-122"/>
                <a:ea typeface="宋体" panose="02010600030101010101" charset="-122"/>
                <a:cs typeface="+mn-cs"/>
              </a:defRPr>
            </a:pPr>
            <a:r>
              <a:rPr lang="zh-CN" altLang="en-US" sz="1000" b="1">
                <a:solidFill>
                  <a:sysClr val="windowText" lastClr="000000"/>
                </a:solidFill>
                <a:latin typeface="宋体" panose="02010600030101010101" charset="-122"/>
                <a:ea typeface="宋体" panose="02010600030101010101" charset="-122"/>
              </a:rPr>
              <a:t>图</a:t>
            </a:r>
            <a:r>
              <a:rPr lang="en-US" altLang="zh-CN" sz="1000" b="1">
                <a:solidFill>
                  <a:sysClr val="windowText" lastClr="000000"/>
                </a:solidFill>
                <a:latin typeface="宋体" panose="02010600030101010101" charset="-122"/>
                <a:ea typeface="宋体" panose="02010600030101010101" charset="-122"/>
              </a:rPr>
              <a:t>10</a:t>
            </a:r>
            <a:r>
              <a:rPr lang="zh-CN" altLang="en-US" sz="1000" b="1">
                <a:solidFill>
                  <a:sysClr val="windowText" lastClr="000000"/>
                </a:solidFill>
                <a:latin typeface="宋体" panose="02010600030101010101" charset="-122"/>
                <a:ea typeface="宋体" panose="02010600030101010101" charset="-122"/>
              </a:rPr>
              <a:t>   主要省区品牌价值与企业数量</a:t>
            </a:r>
          </a:p>
        </c:rich>
      </c:tx>
      <c:layout>
        <c:manualLayout>
          <c:xMode val="edge"/>
          <c:yMode val="edge"/>
          <c:x val="0.23972911963882601"/>
          <c:y val="0.91217672413793105"/>
        </c:manualLayout>
      </c:layout>
      <c:overlay val="0"/>
      <c:spPr>
        <a:noFill/>
        <a:ln>
          <a:noFill/>
        </a:ln>
        <a:effectLst/>
      </c:spPr>
    </c:title>
    <c:autoTitleDeleted val="0"/>
    <c:plotArea>
      <c:layout>
        <c:manualLayout>
          <c:layoutTarget val="inner"/>
          <c:xMode val="edge"/>
          <c:yMode val="edge"/>
          <c:x val="0.116267870579383"/>
          <c:y val="8.7015086206896505E-2"/>
          <c:w val="0.81998495109104597"/>
          <c:h val="0.46589439655172399"/>
        </c:manualLayout>
      </c:layout>
      <c:barChart>
        <c:barDir val="col"/>
        <c:grouping val="clustered"/>
        <c:varyColors val="0"/>
        <c:ser>
          <c:idx val="0"/>
          <c:order val="0"/>
          <c:tx>
            <c:strRef>
              <c:f>图表!$B$153</c:f>
              <c:strCache>
                <c:ptCount val="1"/>
                <c:pt idx="0">
                  <c:v>商标品牌价值（亿元）</c:v>
                </c:pt>
              </c:strCache>
            </c:strRef>
          </c:tx>
          <c:spPr>
            <a:solidFill>
              <a:schemeClr val="accent1"/>
            </a:solidFill>
            <a:ln>
              <a:noFill/>
            </a:ln>
            <a:effectLst/>
          </c:spPr>
          <c:invertIfNegative val="0"/>
          <c:cat>
            <c:strRef>
              <c:f>图表!$A$154:$A$163</c:f>
              <c:strCache>
                <c:ptCount val="10"/>
                <c:pt idx="0">
                  <c:v>北京</c:v>
                </c:pt>
                <c:pt idx="1">
                  <c:v>广东省</c:v>
                </c:pt>
                <c:pt idx="2">
                  <c:v>上海</c:v>
                </c:pt>
                <c:pt idx="3">
                  <c:v>浙江省</c:v>
                </c:pt>
                <c:pt idx="4">
                  <c:v>江苏省</c:v>
                </c:pt>
                <c:pt idx="5">
                  <c:v>山东省</c:v>
                </c:pt>
                <c:pt idx="6">
                  <c:v>贵州省</c:v>
                </c:pt>
                <c:pt idx="7">
                  <c:v>河北省</c:v>
                </c:pt>
                <c:pt idx="8">
                  <c:v>安徽省</c:v>
                </c:pt>
                <c:pt idx="9">
                  <c:v>河南省</c:v>
                </c:pt>
              </c:strCache>
            </c:strRef>
          </c:cat>
          <c:val>
            <c:numRef>
              <c:f>图表!$B$154:$B$163</c:f>
              <c:numCache>
                <c:formatCode>General</c:formatCode>
                <c:ptCount val="10"/>
                <c:pt idx="0">
                  <c:v>18574.754727004402</c:v>
                </c:pt>
                <c:pt idx="1">
                  <c:v>6195.0742680593503</c:v>
                </c:pt>
                <c:pt idx="2">
                  <c:v>4266.0548982871396</c:v>
                </c:pt>
                <c:pt idx="3">
                  <c:v>1758.4265833587001</c:v>
                </c:pt>
                <c:pt idx="4">
                  <c:v>1225.4718991288801</c:v>
                </c:pt>
                <c:pt idx="5">
                  <c:v>1103.53014708347</c:v>
                </c:pt>
                <c:pt idx="6">
                  <c:v>573.43233532510897</c:v>
                </c:pt>
                <c:pt idx="7">
                  <c:v>559.80902219291295</c:v>
                </c:pt>
                <c:pt idx="8">
                  <c:v>439.92351698105199</c:v>
                </c:pt>
                <c:pt idx="9">
                  <c:v>381.81556323592298</c:v>
                </c:pt>
              </c:numCache>
            </c:numRef>
          </c:val>
          <c:extLst xmlns:c16r2="http://schemas.microsoft.com/office/drawing/2015/06/chart">
            <c:ext xmlns:c16="http://schemas.microsoft.com/office/drawing/2014/chart" uri="{C3380CC4-5D6E-409C-BE32-E72D297353CC}">
              <c16:uniqueId val="{00000000-A0D8-462E-8F0A-A8827AF3EA86}"/>
            </c:ext>
          </c:extLst>
        </c:ser>
        <c:dLbls>
          <c:showLegendKey val="0"/>
          <c:showVal val="0"/>
          <c:showCatName val="0"/>
          <c:showSerName val="0"/>
          <c:showPercent val="0"/>
          <c:showBubbleSize val="0"/>
        </c:dLbls>
        <c:gapWidth val="219"/>
        <c:overlap val="-27"/>
        <c:axId val="246013952"/>
        <c:axId val="246015488"/>
      </c:barChart>
      <c:lineChart>
        <c:grouping val="standard"/>
        <c:varyColors val="0"/>
        <c:ser>
          <c:idx val="1"/>
          <c:order val="1"/>
          <c:tx>
            <c:strRef>
              <c:f>图表!$C$153</c:f>
              <c:strCache>
                <c:ptCount val="1"/>
                <c:pt idx="0">
                  <c:v>上榜企业数量（右轴：个）</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图表!$A$154:$A$163</c:f>
              <c:strCache>
                <c:ptCount val="10"/>
                <c:pt idx="0">
                  <c:v>北京</c:v>
                </c:pt>
                <c:pt idx="1">
                  <c:v>广东省</c:v>
                </c:pt>
                <c:pt idx="2">
                  <c:v>上海</c:v>
                </c:pt>
                <c:pt idx="3">
                  <c:v>浙江省</c:v>
                </c:pt>
                <c:pt idx="4">
                  <c:v>江苏省</c:v>
                </c:pt>
                <c:pt idx="5">
                  <c:v>山东省</c:v>
                </c:pt>
                <c:pt idx="6">
                  <c:v>贵州省</c:v>
                </c:pt>
                <c:pt idx="7">
                  <c:v>河北省</c:v>
                </c:pt>
                <c:pt idx="8">
                  <c:v>安徽省</c:v>
                </c:pt>
                <c:pt idx="9">
                  <c:v>河南省</c:v>
                </c:pt>
              </c:strCache>
            </c:strRef>
          </c:cat>
          <c:val>
            <c:numRef>
              <c:f>图表!$C$154:$C$163</c:f>
              <c:numCache>
                <c:formatCode>General</c:formatCode>
                <c:ptCount val="10"/>
                <c:pt idx="0">
                  <c:v>30</c:v>
                </c:pt>
                <c:pt idx="1">
                  <c:v>18</c:v>
                </c:pt>
                <c:pt idx="2">
                  <c:v>14</c:v>
                </c:pt>
                <c:pt idx="3">
                  <c:v>8</c:v>
                </c:pt>
                <c:pt idx="4">
                  <c:v>7</c:v>
                </c:pt>
                <c:pt idx="5">
                  <c:v>5</c:v>
                </c:pt>
                <c:pt idx="6">
                  <c:v>1</c:v>
                </c:pt>
                <c:pt idx="7">
                  <c:v>2</c:v>
                </c:pt>
                <c:pt idx="8">
                  <c:v>2</c:v>
                </c:pt>
                <c:pt idx="9">
                  <c:v>2</c:v>
                </c:pt>
              </c:numCache>
            </c:numRef>
          </c:val>
          <c:smooth val="0"/>
          <c:extLst xmlns:c16r2="http://schemas.microsoft.com/office/drawing/2015/06/chart">
            <c:ext xmlns:c16="http://schemas.microsoft.com/office/drawing/2014/chart" uri="{C3380CC4-5D6E-409C-BE32-E72D297353CC}">
              <c16:uniqueId val="{00000001-A0D8-462E-8F0A-A8827AF3EA86}"/>
            </c:ext>
          </c:extLst>
        </c:ser>
        <c:dLbls>
          <c:showLegendKey val="0"/>
          <c:showVal val="0"/>
          <c:showCatName val="0"/>
          <c:showSerName val="0"/>
          <c:showPercent val="0"/>
          <c:showBubbleSize val="0"/>
        </c:dLbls>
        <c:marker val="1"/>
        <c:smooth val="0"/>
        <c:axId val="246017024"/>
        <c:axId val="246027008"/>
      </c:lineChart>
      <c:catAx>
        <c:axId val="2460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246015488"/>
        <c:crosses val="autoZero"/>
        <c:auto val="1"/>
        <c:lblAlgn val="ctr"/>
        <c:lblOffset val="100"/>
        <c:noMultiLvlLbl val="0"/>
      </c:catAx>
      <c:valAx>
        <c:axId val="2460154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bg1">
                <a:lumMod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6013952"/>
        <c:crosses val="autoZero"/>
        <c:crossBetween val="between"/>
      </c:valAx>
      <c:catAx>
        <c:axId val="246017024"/>
        <c:scaling>
          <c:orientation val="minMax"/>
        </c:scaling>
        <c:delete val="1"/>
        <c:axPos val="b"/>
        <c:numFmt formatCode="General" sourceLinked="1"/>
        <c:majorTickMark val="out"/>
        <c:minorTickMark val="none"/>
        <c:tickLblPos val="nextTo"/>
        <c:crossAx val="246027008"/>
        <c:crosses val="autoZero"/>
        <c:auto val="1"/>
        <c:lblAlgn val="ctr"/>
        <c:lblOffset val="100"/>
        <c:noMultiLvlLbl val="0"/>
      </c:catAx>
      <c:valAx>
        <c:axId val="246027008"/>
        <c:scaling>
          <c:orientation val="minMax"/>
        </c:scaling>
        <c:delete val="0"/>
        <c:axPos val="r"/>
        <c:numFmt formatCode="General" sourceLinked="1"/>
        <c:majorTickMark val="in"/>
        <c:minorTickMark val="none"/>
        <c:tickLblPos val="nextTo"/>
        <c:spPr>
          <a:noFill/>
          <a:ln w="6350" cap="flat" cmpd="sng" algn="ctr">
            <a:solidFill>
              <a:schemeClr val="bg1">
                <a:lumMod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6017024"/>
        <c:crosses val="max"/>
        <c:crossBetween val="between"/>
      </c:valAx>
      <c:spPr>
        <a:noFill/>
        <a:ln>
          <a:noFill/>
        </a:ln>
        <a:effectLst/>
      </c:spPr>
    </c:plotArea>
    <c:legend>
      <c:legendPos val="b"/>
      <c:layout>
        <c:manualLayout>
          <c:xMode val="edge"/>
          <c:yMode val="edge"/>
          <c:x val="0.127765237020316"/>
          <c:y val="0.7712823275862069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D0228D-87A3-4823-B99B-EB5306D5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2279</Words>
  <Characters>12996</Characters>
  <Application>Microsoft Office Word</Application>
  <DocSecurity>0</DocSecurity>
  <Lines>108</Lines>
  <Paragraphs>30</Paragraphs>
  <ScaleCrop>false</ScaleCrop>
  <Company/>
  <LinksUpToDate>false</LinksUpToDate>
  <CharactersWithSpaces>15245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wangxiyanruc@qq.com</dc:creator>
  <cp:lastModifiedBy>CAS</cp:lastModifiedBy>
  <cp:revision>7</cp:revision>
  <cp:lastPrinted>2018-10-24T03:25:00Z</cp:lastPrinted>
  <dcterms:created xsi:type="dcterms:W3CDTF">2018-10-22T04:34:00Z</dcterms:created>
  <dcterms:modified xsi:type="dcterms:W3CDTF">2018-10-24T06:48:00Z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